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right"/>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drawing>
          <wp:inline distT="0" distB="0" distL="0" distR="0">
            <wp:extent cx="857250" cy="29972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2585" cy="301511"/>
                    </a:xfrm>
                    <a:prstGeom prst="rect">
                      <a:avLst/>
                    </a:prstGeom>
                  </pic:spPr>
                </pic:pic>
              </a:graphicData>
            </a:graphic>
          </wp:inline>
        </w:drawing>
      </w:r>
    </w:p>
    <w:p>
      <w:pPr>
        <w:widowControl/>
        <w:spacing w:line="360" w:lineRule="auto"/>
        <w:jc w:val="center"/>
        <w:rPr>
          <w:rFonts w:asciiTheme="minorHAnsi" w:hAnsiTheme="minorHAnsi" w:eastAsiaTheme="majorEastAsia" w:cstheme="minorHAnsi"/>
          <w:b/>
          <w:kern w:val="0"/>
          <w:sz w:val="32"/>
          <w:szCs w:val="21"/>
        </w:rPr>
      </w:pP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 xml:space="preserve">加拿大维多利亚大学 </w:t>
      </w: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2020寒假</w:t>
      </w:r>
      <w:r>
        <w:rPr>
          <w:rFonts w:asciiTheme="minorHAnsi" w:hAnsiTheme="minorHAnsi" w:eastAsiaTheme="majorEastAsia" w:cstheme="minorHAnsi"/>
          <w:b/>
          <w:kern w:val="0"/>
          <w:sz w:val="32"/>
          <w:szCs w:val="21"/>
        </w:rPr>
        <w:t>访学项目</w:t>
      </w: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语言文化课程</w:t>
      </w:r>
    </w:p>
    <w:p>
      <w:pPr>
        <w:widowControl/>
        <w:spacing w:line="360" w:lineRule="auto"/>
        <w:jc w:val="center"/>
        <w:rPr>
          <w:rFonts w:asciiTheme="minorHAnsi" w:hAnsiTheme="minorHAnsi" w:eastAsiaTheme="majorEastAsia" w:cstheme="minorHAnsi"/>
          <w:sz w:val="28"/>
          <w:szCs w:val="28"/>
        </w:rPr>
      </w:pPr>
      <w:r>
        <w:rPr>
          <w:rFonts w:asciiTheme="minorHAnsi" w:hAnsiTheme="minorHAnsi" w:eastAsiaTheme="majorEastAsia" w:cstheme="minorHAnsi"/>
          <w:sz w:val="28"/>
          <w:szCs w:val="28"/>
        </w:rPr>
        <w:t>University of Victoria</w:t>
      </w:r>
      <w:r>
        <w:rPr>
          <w:rFonts w:hint="eastAsia" w:asciiTheme="minorHAnsi" w:hAnsiTheme="minorHAnsi" w:eastAsiaTheme="majorEastAsia" w:cstheme="minorHAnsi"/>
          <w:sz w:val="28"/>
          <w:szCs w:val="28"/>
        </w:rPr>
        <w:t xml:space="preserve"> </w:t>
      </w:r>
    </w:p>
    <w:p>
      <w:pPr>
        <w:widowControl/>
        <w:spacing w:line="360" w:lineRule="auto"/>
        <w:jc w:val="center"/>
        <w:rPr>
          <w:rFonts w:asciiTheme="minorHAnsi" w:hAnsiTheme="minorHAnsi" w:eastAsiaTheme="majorEastAsia" w:cstheme="minorHAnsi"/>
          <w:b/>
          <w:kern w:val="0"/>
          <w:sz w:val="30"/>
          <w:szCs w:val="30"/>
        </w:rPr>
      </w:pPr>
      <w:r>
        <w:rPr>
          <w:rFonts w:asciiTheme="minorHAnsi" w:hAnsiTheme="minorHAnsi" w:eastAsiaTheme="majorEastAsia" w:cstheme="minorHAnsi"/>
          <w:b/>
          <w:sz w:val="30"/>
          <w:szCs w:val="30"/>
        </w:rPr>
        <w:t xml:space="preserve">Monthly </w:t>
      </w:r>
      <w:r>
        <w:rPr>
          <w:rFonts w:hint="eastAsia" w:asciiTheme="minorHAnsi" w:hAnsiTheme="minorHAnsi" w:eastAsiaTheme="majorEastAsia" w:cstheme="minorHAnsi"/>
          <w:b/>
          <w:sz w:val="30"/>
          <w:szCs w:val="30"/>
        </w:rPr>
        <w:t>English Program</w:t>
      </w:r>
    </w:p>
    <w:p>
      <w:pPr>
        <w:widowControl/>
        <w:spacing w:line="360" w:lineRule="auto"/>
        <w:jc w:val="center"/>
        <w:rPr>
          <w:rFonts w:cs="Calibri" w:asciiTheme="minorHAnsi" w:hAnsiTheme="minorHAnsi"/>
          <w:b/>
          <w:kern w:val="0"/>
          <w:szCs w:val="21"/>
        </w:rPr>
      </w:pPr>
      <w:r>
        <w:rPr>
          <w:rFonts w:hint="eastAsia" w:cs="Calibri" w:asciiTheme="minorHAnsi" w:hAnsiTheme="minorHAnsi"/>
          <w:b/>
          <w:kern w:val="0"/>
          <w:szCs w:val="21"/>
        </w:rPr>
        <w:t>2020年1月6日–1月31日</w:t>
      </w:r>
      <w:r>
        <w:rPr>
          <w:rFonts w:cs="Calibri" w:asciiTheme="minorHAnsi" w:hAnsiTheme="minorHAnsi"/>
          <w:b/>
          <w:kern w:val="0"/>
          <w:szCs w:val="21"/>
        </w:rPr>
        <w:t>/</w:t>
      </w:r>
      <w:r>
        <w:rPr>
          <w:rFonts w:hint="eastAsia" w:cs="Calibri" w:asciiTheme="minorHAnsi" w:hAnsiTheme="minorHAnsi"/>
          <w:b/>
          <w:kern w:val="0"/>
          <w:szCs w:val="21"/>
        </w:rPr>
        <w:t>2月3日–2月28日</w:t>
      </w:r>
    </w:p>
    <w:p>
      <w:pPr>
        <w:widowControl/>
        <w:spacing w:line="360" w:lineRule="auto"/>
        <w:jc w:val="left"/>
        <w:rPr>
          <w:rFonts w:asciiTheme="minorHAnsi" w:hAnsiTheme="minorHAnsi" w:eastAsiaTheme="majorEastAsia" w:cstheme="minorHAnsi"/>
          <w:b/>
          <w:kern w:val="0"/>
          <w:szCs w:val="21"/>
        </w:rPr>
      </w:pPr>
      <w:r>
        <w:rPr>
          <w:rFonts w:hint="eastAsia" w:asciiTheme="minorHAnsi" w:hAnsiTheme="minorHAnsi" w:eastAsiaTheme="majorEastAsia" w:cstheme="minorHAnsi"/>
          <w:b/>
          <w:kern w:val="0"/>
          <w:szCs w:val="21"/>
        </w:rPr>
        <w:t>一、项目综述</w:t>
      </w:r>
    </w:p>
    <w:p>
      <w:pPr>
        <w:widowControl/>
        <w:spacing w:line="360" w:lineRule="auto"/>
        <w:jc w:val="left"/>
        <w:rPr>
          <w:rFonts w:cs="Calibri" w:asciiTheme="minorHAnsi" w:hAnsiTheme="minorHAnsi"/>
          <w:szCs w:val="21"/>
        </w:rPr>
      </w:pPr>
      <w:r>
        <w:rPr>
          <w:rFonts w:hint="eastAsia" w:asciiTheme="minorHAnsi" w:hAnsiTheme="minorHAnsi"/>
        </w:rPr>
        <w:t xml:space="preserve">    </w:t>
      </w:r>
      <w:r>
        <w:rPr>
          <w:rFonts w:asciiTheme="minorHAnsi" w:hAnsiTheme="minorHAnsi"/>
        </w:rPr>
        <w:t xml:space="preserve">维多利亚大学英语语言中心（English Language </w:t>
      </w:r>
      <w:r>
        <w:rPr>
          <w:rFonts w:hint="eastAsia" w:asciiTheme="minorHAnsi" w:hAnsiTheme="minorHAnsi"/>
        </w:rPr>
        <w:t>Center, ELC</w:t>
      </w:r>
      <w:r>
        <w:rPr>
          <w:rFonts w:asciiTheme="minorHAnsi" w:hAnsiTheme="minorHAnsi"/>
        </w:rPr>
        <w:t>）</w:t>
      </w:r>
      <w:r>
        <w:rPr>
          <w:rFonts w:hint="eastAsia" w:asciiTheme="minorHAnsi" w:hAnsiTheme="minorHAnsi"/>
        </w:rPr>
        <w:t>成立于1970年，</w:t>
      </w:r>
      <w:r>
        <w:rPr>
          <w:rFonts w:asciiTheme="minorHAnsi" w:hAnsiTheme="minorHAnsi"/>
        </w:rPr>
        <w:t>隶属于</w:t>
      </w:r>
      <w:r>
        <w:rPr>
          <w:rFonts w:hint="eastAsia" w:asciiTheme="minorHAnsi" w:hAnsiTheme="minorHAnsi"/>
        </w:rPr>
        <w:t>学校</w:t>
      </w:r>
      <w:r>
        <w:rPr>
          <w:rFonts w:asciiTheme="minorHAnsi" w:hAnsiTheme="minorHAnsi"/>
        </w:rPr>
        <w:t>的继续教育部门</w:t>
      </w:r>
      <w:r>
        <w:rPr>
          <w:rFonts w:hint="eastAsia" w:asciiTheme="minorHAnsi" w:hAnsiTheme="minorHAnsi"/>
        </w:rPr>
        <w:t>(Division of Continuing Studies), 具备40多年的丰富教学经验，是加拿大最著名的英语教学中心之一，每年为来自世界各地的3,000多名学生提供了优质的英语学习项目。</w:t>
      </w:r>
    </w:p>
    <w:p>
      <w:pPr>
        <w:widowControl/>
        <w:spacing w:line="360" w:lineRule="auto"/>
        <w:ind w:firstLine="420" w:firstLineChars="200"/>
        <w:jc w:val="left"/>
        <w:rPr>
          <w:rFonts w:asciiTheme="minorHAnsi" w:hAnsiTheme="minorHAnsi" w:eastAsiaTheme="majorEastAsia" w:cstheme="minorHAnsi"/>
          <w:szCs w:val="21"/>
        </w:rPr>
      </w:pPr>
      <w:r>
        <w:rPr>
          <w:rFonts w:asciiTheme="minorHAnsi" w:hAnsiTheme="minorHAnsi" w:eastAsiaTheme="majorEastAsia" w:cstheme="minorHAnsi"/>
          <w:kern w:val="0"/>
          <w:szCs w:val="21"/>
        </w:rPr>
        <w:t>参加</w:t>
      </w:r>
      <w:r>
        <w:rPr>
          <w:rFonts w:cs="Arial" w:asciiTheme="minorHAnsi" w:hAnsiTheme="minorHAnsi"/>
          <w:color w:val="333333"/>
          <w:kern w:val="0"/>
          <w:szCs w:val="21"/>
        </w:rPr>
        <w:t>维多利亚</w:t>
      </w:r>
      <w:r>
        <w:rPr>
          <w:rFonts w:asciiTheme="minorHAnsi" w:hAnsiTheme="minorHAnsi" w:eastAsiaTheme="majorEastAsia" w:cstheme="minorHAnsi"/>
          <w:kern w:val="0"/>
          <w:szCs w:val="21"/>
        </w:rPr>
        <w:t>大学</w:t>
      </w:r>
      <w:r>
        <w:rPr>
          <w:rFonts w:hint="eastAsia" w:asciiTheme="minorHAnsi" w:hAnsiTheme="minorHAnsi" w:eastAsiaTheme="majorEastAsia" w:cstheme="minorHAnsi"/>
          <w:kern w:val="0"/>
          <w:szCs w:val="21"/>
        </w:rPr>
        <w:t>2020寒假</w:t>
      </w:r>
      <w:r>
        <w:rPr>
          <w:rFonts w:asciiTheme="minorHAnsi" w:hAnsiTheme="minorHAnsi" w:eastAsiaTheme="majorEastAsia" w:cstheme="minorHAnsi"/>
          <w:kern w:val="0"/>
          <w:szCs w:val="21"/>
        </w:rPr>
        <w:t>项目的学生</w:t>
      </w:r>
      <w:r>
        <w:rPr>
          <w:rFonts w:asciiTheme="minorHAnsi" w:hAnsiTheme="minorHAnsi" w:eastAsiaTheme="majorEastAsia" w:cstheme="minorHAnsi"/>
          <w:szCs w:val="21"/>
        </w:rPr>
        <w:t>可选报</w:t>
      </w:r>
      <w:r>
        <w:rPr>
          <w:rFonts w:hint="eastAsia" w:asciiTheme="minorHAnsi" w:hAnsiTheme="minorHAnsi" w:eastAsiaTheme="majorEastAsia" w:cstheme="minorHAnsi"/>
          <w:szCs w:val="21"/>
        </w:rPr>
        <w:t>语言</w:t>
      </w:r>
      <w:r>
        <w:rPr>
          <w:rFonts w:asciiTheme="minorHAnsi" w:hAnsiTheme="minorHAnsi" w:eastAsiaTheme="majorEastAsia" w:cstheme="minorHAnsi"/>
          <w:szCs w:val="21"/>
        </w:rPr>
        <w:t>文化课程</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参加项目的学生与</w:t>
      </w:r>
      <w:r>
        <w:rPr>
          <w:rFonts w:cs="Arial" w:asciiTheme="minorHAnsi" w:hAnsiTheme="minorHAnsi"/>
          <w:color w:val="333333"/>
          <w:kern w:val="0"/>
          <w:szCs w:val="21"/>
        </w:rPr>
        <w:t>维多利亚</w:t>
      </w:r>
      <w:r>
        <w:rPr>
          <w:rFonts w:asciiTheme="minorHAnsi" w:hAnsiTheme="minorHAnsi" w:eastAsiaTheme="majorEastAsia" w:cstheme="minorHAnsi"/>
          <w:szCs w:val="21"/>
        </w:rPr>
        <w:t>大学在读的语言项目学生混合编班，由</w:t>
      </w:r>
      <w:r>
        <w:rPr>
          <w:rFonts w:cs="Arial" w:asciiTheme="minorHAnsi" w:hAnsiTheme="minorHAnsi"/>
          <w:color w:val="333333"/>
          <w:kern w:val="0"/>
          <w:szCs w:val="21"/>
        </w:rPr>
        <w:t>维多利亚</w:t>
      </w:r>
      <w:r>
        <w:rPr>
          <w:rFonts w:asciiTheme="minorHAnsi" w:hAnsiTheme="minorHAnsi" w:eastAsiaTheme="majorEastAsia" w:cstheme="minorHAnsi"/>
          <w:szCs w:val="21"/>
        </w:rPr>
        <w:t>大学进行统一的学术管理与学术考核，获得</w:t>
      </w:r>
      <w:r>
        <w:rPr>
          <w:rFonts w:hint="eastAsia" w:asciiTheme="minorHAnsi" w:hAnsiTheme="minorHAnsi" w:eastAsiaTheme="majorEastAsia" w:cstheme="minorHAnsi"/>
          <w:szCs w:val="21"/>
        </w:rPr>
        <w:t>维</w:t>
      </w:r>
      <w:r>
        <w:rPr>
          <w:rFonts w:asciiTheme="minorHAnsi" w:hAnsiTheme="minorHAnsi" w:eastAsiaTheme="majorEastAsia" w:cstheme="minorHAnsi"/>
          <w:szCs w:val="21"/>
        </w:rPr>
        <w:t>大正式的成绩单与项目</w:t>
      </w:r>
      <w:r>
        <w:rPr>
          <w:rFonts w:hint="eastAsia" w:asciiTheme="minorHAnsi" w:hAnsiTheme="minorHAnsi" w:eastAsiaTheme="majorEastAsia" w:cstheme="minorHAnsi"/>
          <w:szCs w:val="21"/>
        </w:rPr>
        <w:t>证书</w:t>
      </w:r>
      <w:r>
        <w:rPr>
          <w:rFonts w:asciiTheme="minorHAnsi" w:hAnsiTheme="minorHAnsi" w:eastAsiaTheme="majorEastAsia" w:cstheme="minorHAnsi"/>
          <w:szCs w:val="21"/>
        </w:rPr>
        <w:t>。</w:t>
      </w:r>
    </w:p>
    <w:p>
      <w:pPr>
        <w:widowControl/>
        <w:spacing w:line="360" w:lineRule="auto"/>
        <w:ind w:firstLine="420" w:firstLineChars="200"/>
        <w:jc w:val="left"/>
        <w:rPr>
          <w:rFonts w:asciiTheme="minorHAnsi" w:hAnsiTheme="minorHAnsi"/>
        </w:rPr>
      </w:pPr>
    </w:p>
    <w:p>
      <w:pPr>
        <w:widowControl/>
        <w:spacing w:line="360" w:lineRule="auto"/>
        <w:ind w:firstLine="420" w:firstLineChars="200"/>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全美国际教育协会作为维多利亚大学英语语言中心在中国的正式授权机构，负责选拔优秀中国大学生，于2020年寒假前往维多利亚大学参加为期四周的访问学习。项目学生将与其它参加语言课程的国际学生混班上课，迅速提升自身的英语水平，同时体验加拿大的社会与文化。</w:t>
      </w:r>
    </w:p>
    <w:p>
      <w:pPr>
        <w:widowControl/>
        <w:spacing w:line="360" w:lineRule="auto"/>
        <w:jc w:val="left"/>
        <w:rPr>
          <w:rFonts w:asciiTheme="minorHAnsi" w:hAnsiTheme="minorHAnsi" w:eastAsiaTheme="majorEastAsia" w:cstheme="minorHAnsi"/>
          <w:color w:val="000000"/>
          <w:szCs w:val="21"/>
        </w:rPr>
      </w:pPr>
    </w:p>
    <w:p>
      <w:pPr>
        <w:widowControl/>
        <w:spacing w:line="360" w:lineRule="auto"/>
        <w:jc w:val="left"/>
        <w:rPr>
          <w:rFonts w:cs="Calibri" w:asciiTheme="minorHAnsi" w:hAnsiTheme="minorHAnsi"/>
          <w:b/>
          <w:szCs w:val="21"/>
        </w:rPr>
      </w:pPr>
      <w:r>
        <w:rPr>
          <w:rFonts w:hint="eastAsia" w:asciiTheme="minorHAnsi" w:hAnsiTheme="minorHAnsi" w:eastAsiaTheme="majorEastAsia" w:cstheme="minorHAnsi"/>
          <w:b/>
          <w:kern w:val="0"/>
          <w:szCs w:val="21"/>
        </w:rPr>
        <w:t>二、</w:t>
      </w:r>
      <w:r>
        <w:rPr>
          <w:rFonts w:hint="eastAsia" w:cs="Calibri" w:asciiTheme="minorHAnsi" w:hAnsiTheme="minorHAnsi"/>
          <w:b/>
          <w:szCs w:val="21"/>
        </w:rPr>
        <w:t>特色与优势</w:t>
      </w:r>
    </w:p>
    <w:p>
      <w:pPr>
        <w:widowControl/>
        <w:numPr>
          <w:ilvl w:val="0"/>
          <w:numId w:val="1"/>
        </w:numPr>
        <w:spacing w:line="360" w:lineRule="auto"/>
        <w:jc w:val="left"/>
        <w:rPr>
          <w:rFonts w:cs="Calibri" w:asciiTheme="minorHAnsi" w:hAnsiTheme="minorHAnsi"/>
          <w:szCs w:val="21"/>
        </w:rPr>
      </w:pPr>
      <w:r>
        <w:rPr>
          <w:rFonts w:hint="eastAsia" w:cs="Calibri" w:asciiTheme="minorHAnsi" w:hAnsiTheme="minorHAnsi"/>
          <w:szCs w:val="21"/>
        </w:rPr>
        <w:t>【体验北美纯正英语课程】参加加拿大名校的优质语言课程，每周约20小时强化学习，有效提升语言技巧；</w:t>
      </w:r>
    </w:p>
    <w:p>
      <w:pPr>
        <w:widowControl/>
        <w:numPr>
          <w:ilvl w:val="0"/>
          <w:numId w:val="1"/>
        </w:numPr>
        <w:spacing w:line="360" w:lineRule="auto"/>
        <w:jc w:val="left"/>
        <w:rPr>
          <w:rFonts w:cs="Calibri" w:asciiTheme="minorHAnsi" w:hAnsiTheme="minorHAnsi"/>
          <w:szCs w:val="21"/>
        </w:rPr>
      </w:pPr>
      <w:r>
        <w:rPr>
          <w:rFonts w:hint="eastAsia" w:cs="Calibri" w:asciiTheme="minorHAnsi" w:hAnsiTheme="minorHAnsi"/>
          <w:szCs w:val="21"/>
        </w:rPr>
        <w:t>【维多利亚大学成绩单和学习证书】获得维多利亚大学英语语言中心颁发的成绩单与项目证书，为个人履历添砖加瓦；</w:t>
      </w:r>
    </w:p>
    <w:p>
      <w:pPr>
        <w:widowControl/>
        <w:numPr>
          <w:ilvl w:val="0"/>
          <w:numId w:val="1"/>
        </w:numPr>
        <w:spacing w:line="360" w:lineRule="auto"/>
        <w:jc w:val="left"/>
        <w:rPr>
          <w:rFonts w:cs="Calibri" w:asciiTheme="minorHAnsi" w:hAnsiTheme="minorHAnsi"/>
          <w:szCs w:val="21"/>
        </w:rPr>
      </w:pPr>
      <w:r>
        <w:rPr>
          <w:rFonts w:hint="eastAsia" w:cs="Calibri" w:asciiTheme="minorHAnsi" w:hAnsiTheme="minorHAnsi"/>
          <w:szCs w:val="21"/>
        </w:rPr>
        <w:t>【和国际学生一起上课，结交各国好友】与来自其它国家的学生共同学习、提高跨文化沟通技能，收获知识与友谊；</w:t>
      </w:r>
    </w:p>
    <w:p>
      <w:pPr>
        <w:widowControl/>
        <w:numPr>
          <w:ilvl w:val="0"/>
          <w:numId w:val="1"/>
        </w:numPr>
        <w:spacing w:line="360" w:lineRule="auto"/>
        <w:jc w:val="left"/>
        <w:rPr>
          <w:rFonts w:cs="Calibri" w:asciiTheme="minorHAnsi" w:hAnsiTheme="minorHAnsi"/>
          <w:szCs w:val="21"/>
        </w:rPr>
      </w:pPr>
      <w:r>
        <w:rPr>
          <w:rFonts w:hint="eastAsia" w:cs="Calibri" w:asciiTheme="minorHAnsi" w:hAnsiTheme="minorHAnsi"/>
          <w:szCs w:val="21"/>
        </w:rPr>
        <w:t>【尽享校园设施与资源】 获得维多利亚大学学生证，</w:t>
      </w:r>
      <w:r>
        <w:rPr>
          <w:rFonts w:hint="eastAsia" w:asciiTheme="minorHAnsi" w:hAnsiTheme="minorHAnsi" w:eastAsiaTheme="majorEastAsia" w:cstheme="minorHAnsi"/>
          <w:szCs w:val="21"/>
        </w:rPr>
        <w:t>按校方规定充分享受各类校园设施与教育资源</w:t>
      </w:r>
      <w:r>
        <w:rPr>
          <w:rFonts w:hint="eastAsia" w:cs="Calibri" w:asciiTheme="minorHAnsi" w:hAnsiTheme="minorHAnsi"/>
          <w:szCs w:val="21"/>
        </w:rPr>
        <w:t>；</w:t>
      </w:r>
    </w:p>
    <w:p>
      <w:pPr>
        <w:widowControl/>
        <w:numPr>
          <w:ilvl w:val="0"/>
          <w:numId w:val="1"/>
        </w:numPr>
        <w:spacing w:line="360" w:lineRule="auto"/>
        <w:jc w:val="left"/>
        <w:rPr>
          <w:rFonts w:asciiTheme="minorHAnsi" w:hAnsiTheme="minorHAnsi" w:eastAsiaTheme="majorEastAsia" w:cstheme="minorHAnsi"/>
          <w:color w:val="000000"/>
          <w:szCs w:val="21"/>
        </w:rPr>
      </w:pPr>
      <w:r>
        <w:rPr>
          <w:rFonts w:hint="eastAsia" w:cs="Calibri" w:asciiTheme="minorHAnsi" w:hAnsiTheme="minorHAnsi"/>
          <w:szCs w:val="21"/>
        </w:rPr>
        <w:t>【丰富的文化活动体验】丰富多彩的加拿大文化体验，畅游温哥华、</w:t>
      </w:r>
      <w:r>
        <w:rPr>
          <w:rFonts w:hint="eastAsia" w:cs="Calibri" w:asciiTheme="minorHAnsi" w:hAnsiTheme="minorHAnsi"/>
          <w:sz w:val="22"/>
          <w:szCs w:val="22"/>
        </w:rPr>
        <w:t>观鲸、参观布查特花园、观看冰球比赛、皮划艇运动等。</w:t>
      </w:r>
    </w:p>
    <w:p>
      <w:pPr>
        <w:widowControl/>
        <w:spacing w:line="360" w:lineRule="auto"/>
        <w:jc w:val="left"/>
        <w:rPr>
          <w:rFonts w:asciiTheme="minorHAnsi" w:hAnsiTheme="minorHAnsi" w:eastAsiaTheme="majorEastAsia" w:cstheme="minorHAnsi"/>
          <w:color w:val="000000"/>
          <w:szCs w:val="21"/>
        </w:rPr>
      </w:pPr>
      <w:r>
        <w:drawing>
          <wp:anchor distT="0" distB="0" distL="114300" distR="114300" simplePos="0" relativeHeight="251661312" behindDoc="0" locked="0" layoutInCell="1" allowOverlap="1">
            <wp:simplePos x="0" y="0"/>
            <wp:positionH relativeFrom="column">
              <wp:posOffset>0</wp:posOffset>
            </wp:positionH>
            <wp:positionV relativeFrom="paragraph">
              <wp:posOffset>304165</wp:posOffset>
            </wp:positionV>
            <wp:extent cx="5343525" cy="2276475"/>
            <wp:effectExtent l="0" t="0" r="9525"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343525" cy="2276475"/>
                    </a:xfrm>
                    <a:prstGeom prst="rect">
                      <a:avLst/>
                    </a:prstGeom>
                  </pic:spPr>
                </pic:pic>
              </a:graphicData>
            </a:graphic>
          </wp:anchor>
        </w:drawing>
      </w:r>
    </w:p>
    <w:p>
      <w:pPr>
        <w:widowControl/>
        <w:spacing w:line="360" w:lineRule="auto"/>
        <w:jc w:val="left"/>
        <w:rPr>
          <w:rFonts w:asciiTheme="minorHAnsi" w:hAnsiTheme="minorHAnsi" w:eastAsiaTheme="majorEastAsia" w:cstheme="minorHAnsi"/>
          <w:b/>
          <w:bCs/>
          <w:kern w:val="0"/>
          <w:szCs w:val="21"/>
        </w:rPr>
      </w:pPr>
    </w:p>
    <w:p>
      <w:pPr>
        <w:widowControl/>
        <w:spacing w:line="360" w:lineRule="auto"/>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三、维多利亚</w:t>
      </w:r>
      <w:r>
        <w:rPr>
          <w:rFonts w:asciiTheme="minorHAnsi" w:hAnsiTheme="minorHAnsi" w:eastAsiaTheme="majorEastAsia" w:cstheme="minorHAnsi"/>
          <w:b/>
          <w:bCs/>
          <w:kern w:val="0"/>
          <w:szCs w:val="21"/>
        </w:rPr>
        <w:t>大学</w:t>
      </w:r>
      <w:r>
        <w:rPr>
          <w:rFonts w:hint="eastAsia" w:asciiTheme="minorHAnsi" w:hAnsiTheme="minorHAnsi" w:eastAsiaTheme="majorEastAsia" w:cstheme="minorHAnsi"/>
          <w:b/>
          <w:bCs/>
          <w:kern w:val="0"/>
          <w:szCs w:val="21"/>
        </w:rPr>
        <w:t>简介</w:t>
      </w:r>
    </w:p>
    <w:p>
      <w:pPr>
        <w:pStyle w:val="19"/>
        <w:widowControl/>
        <w:numPr>
          <w:ilvl w:val="0"/>
          <w:numId w:val="2"/>
        </w:numPr>
        <w:spacing w:line="360" w:lineRule="auto"/>
        <w:ind w:firstLineChars="0"/>
        <w:jc w:val="left"/>
        <w:rPr>
          <w:rFonts w:asciiTheme="minorHAnsi" w:hAnsiTheme="minorHAnsi" w:eastAsiaTheme="majorEastAsia" w:cstheme="minorHAnsi"/>
          <w:szCs w:val="21"/>
        </w:rPr>
      </w:pPr>
      <w:r>
        <w:rPr>
          <w:rFonts w:cs="Arial" w:asciiTheme="minorHAnsi" w:hAnsiTheme="minorHAnsi"/>
          <w:color w:val="333333"/>
          <w:kern w:val="0"/>
          <w:szCs w:val="21"/>
        </w:rPr>
        <w:t>创建于1</w:t>
      </w:r>
      <w:r>
        <w:rPr>
          <w:rFonts w:hint="eastAsia" w:cs="Arial" w:asciiTheme="minorHAnsi" w:hAnsiTheme="minorHAnsi"/>
          <w:color w:val="333333"/>
          <w:kern w:val="0"/>
          <w:szCs w:val="21"/>
        </w:rPr>
        <w:t>963</w:t>
      </w:r>
      <w:r>
        <w:rPr>
          <w:rFonts w:cs="Arial" w:asciiTheme="minorHAnsi" w:hAnsiTheme="minorHAnsi"/>
          <w:color w:val="333333"/>
          <w:kern w:val="0"/>
          <w:szCs w:val="21"/>
        </w:rPr>
        <w:t>年，加拿大顶尖学府，</w:t>
      </w:r>
      <w:r>
        <w:rPr>
          <w:rFonts w:hint="eastAsia" w:cs="Arial" w:asciiTheme="minorHAnsi" w:hAnsiTheme="minorHAnsi"/>
          <w:color w:val="333333"/>
          <w:kern w:val="0"/>
          <w:szCs w:val="21"/>
        </w:rPr>
        <w:t>其前身是成立于1903年的麦吉尔大学维多利亚学院；</w:t>
      </w:r>
    </w:p>
    <w:p>
      <w:pPr>
        <w:pStyle w:val="19"/>
        <w:widowControl/>
        <w:numPr>
          <w:ilvl w:val="0"/>
          <w:numId w:val="2"/>
        </w:numPr>
        <w:spacing w:line="360" w:lineRule="auto"/>
        <w:ind w:firstLineChars="0"/>
        <w:jc w:val="left"/>
        <w:rPr>
          <w:rFonts w:asciiTheme="minorHAnsi" w:hAnsiTheme="minorHAnsi" w:eastAsiaTheme="majorEastAsia" w:cstheme="minorHAnsi"/>
          <w:szCs w:val="21"/>
        </w:rPr>
      </w:pPr>
      <w:r>
        <w:rPr>
          <w:rFonts w:asciiTheme="minorHAnsi" w:hAnsiTheme="minorHAnsi"/>
        </w:rPr>
        <w:t>201</w:t>
      </w:r>
      <w:r>
        <w:rPr>
          <w:rFonts w:hint="eastAsia" w:asciiTheme="minorHAnsi" w:hAnsiTheme="minorHAnsi"/>
        </w:rPr>
        <w:t>8</w:t>
      </w:r>
      <w:r>
        <w:rPr>
          <w:rFonts w:asciiTheme="minorHAnsi" w:hAnsiTheme="minorHAnsi"/>
        </w:rPr>
        <w:t>年加拿大</w:t>
      </w:r>
      <w:r>
        <w:rPr>
          <w:rFonts w:hint="eastAsia" w:asciiTheme="minorHAnsi" w:hAnsiTheme="minorHAnsi"/>
        </w:rPr>
        <w:t>Maclean杂志全加综合性大学排名第二；2019年美国新闻与世界报道全球大学综合排名</w:t>
      </w:r>
      <w:r>
        <w:rPr>
          <w:rFonts w:asciiTheme="minorHAnsi" w:hAnsiTheme="minorHAnsi"/>
        </w:rPr>
        <w:t>第</w:t>
      </w:r>
      <w:r>
        <w:rPr>
          <w:rFonts w:hint="eastAsia" w:asciiTheme="minorHAnsi" w:hAnsiTheme="minorHAnsi"/>
        </w:rPr>
        <w:t>272；</w:t>
      </w:r>
    </w:p>
    <w:p>
      <w:pPr>
        <w:pStyle w:val="19"/>
        <w:widowControl/>
        <w:numPr>
          <w:ilvl w:val="0"/>
          <w:numId w:val="2"/>
        </w:numPr>
        <w:spacing w:line="360" w:lineRule="auto"/>
        <w:ind w:firstLineChars="0"/>
        <w:jc w:val="left"/>
        <w:rPr>
          <w:rFonts w:asciiTheme="minorHAnsi" w:hAnsiTheme="minorHAnsi" w:eastAsiaTheme="majorEastAsia" w:cstheme="minorHAnsi"/>
          <w:szCs w:val="21"/>
        </w:rPr>
      </w:pPr>
      <w:r>
        <w:rPr>
          <w:rFonts w:hint="eastAsia" w:asciiTheme="minorHAnsi" w:hAnsiTheme="minorHAnsi"/>
        </w:rPr>
        <w:t>下设10个学院，</w:t>
      </w:r>
      <w:r>
        <w:rPr>
          <w:rFonts w:asciiTheme="minorHAnsi" w:hAnsiTheme="minorHAnsi"/>
        </w:rPr>
        <w:t>学生超过</w:t>
      </w:r>
      <w:r>
        <w:rPr>
          <w:rFonts w:hint="eastAsia" w:asciiTheme="minorHAnsi" w:hAnsiTheme="minorHAnsi"/>
        </w:rPr>
        <w:t>2万人，</w:t>
      </w:r>
      <w:r>
        <w:rPr>
          <w:rFonts w:asciiTheme="minorHAnsi" w:hAnsiTheme="minorHAnsi"/>
        </w:rPr>
        <w:t>强势专业包括数理科学</w:t>
      </w:r>
      <w:r>
        <w:rPr>
          <w:rFonts w:hint="eastAsia" w:asciiTheme="minorHAnsi" w:hAnsiTheme="minorHAnsi"/>
        </w:rPr>
        <w:t>、</w:t>
      </w:r>
      <w:r>
        <w:rPr>
          <w:rFonts w:asciiTheme="minorHAnsi" w:hAnsiTheme="minorHAnsi"/>
        </w:rPr>
        <w:t>海洋科学</w:t>
      </w:r>
      <w:r>
        <w:rPr>
          <w:rFonts w:hint="eastAsia" w:asciiTheme="minorHAnsi" w:hAnsiTheme="minorHAnsi"/>
        </w:rPr>
        <w:t>、气候研究、</w:t>
      </w:r>
      <w:r>
        <w:rPr>
          <w:rFonts w:asciiTheme="minorHAnsi" w:hAnsiTheme="minorHAnsi"/>
        </w:rPr>
        <w:t>清洁能源技术</w:t>
      </w:r>
      <w:r>
        <w:rPr>
          <w:rFonts w:hint="eastAsia" w:asciiTheme="minorHAnsi" w:hAnsiTheme="minorHAnsi"/>
        </w:rPr>
        <w:t>、</w:t>
      </w:r>
      <w:r>
        <w:rPr>
          <w:rFonts w:asciiTheme="minorHAnsi" w:hAnsiTheme="minorHAnsi"/>
        </w:rPr>
        <w:t>商科等</w:t>
      </w:r>
      <w:r>
        <w:rPr>
          <w:rFonts w:hint="eastAsia" w:cs="Arial" w:asciiTheme="minorHAnsi" w:hAnsiTheme="minorHAnsi"/>
          <w:color w:val="333333"/>
          <w:kern w:val="0"/>
          <w:szCs w:val="21"/>
        </w:rPr>
        <w:t>；</w:t>
      </w:r>
    </w:p>
    <w:p>
      <w:pPr>
        <w:pStyle w:val="19"/>
        <w:widowControl/>
        <w:numPr>
          <w:ilvl w:val="0"/>
          <w:numId w:val="2"/>
        </w:numPr>
        <w:spacing w:line="360" w:lineRule="auto"/>
        <w:ind w:firstLineChars="0"/>
        <w:jc w:val="left"/>
        <w:rPr>
          <w:rFonts w:asciiTheme="minorHAnsi" w:hAnsiTheme="minorHAnsi" w:eastAsiaTheme="majorEastAsia" w:cstheme="minorHAnsi"/>
          <w:szCs w:val="21"/>
        </w:rPr>
      </w:pPr>
      <w:r>
        <w:rPr>
          <w:rFonts w:hint="eastAsia" w:asciiTheme="minorHAnsi" w:hAnsiTheme="minorHAnsi"/>
        </w:rPr>
        <w:t>学校所处的维多利亚市位于温哥华岛最南端，是加拿大不列颠</w:t>
      </w:r>
      <w:r>
        <w:rPr>
          <w:rFonts w:asciiTheme="minorHAnsi" w:hAnsiTheme="minorHAnsi"/>
        </w:rPr>
        <w:t>哥伦比亚省首府</w:t>
      </w:r>
      <w:r>
        <w:rPr>
          <w:rFonts w:hint="eastAsia" w:asciiTheme="minorHAnsi" w:hAnsiTheme="minorHAnsi"/>
        </w:rPr>
        <w:t>，常年气候温和，风景优美，是加拿大及世界上最宜居的城市之一</w:t>
      </w:r>
    </w:p>
    <w:p>
      <w:pPr>
        <w:pStyle w:val="19"/>
        <w:widowControl/>
        <w:spacing w:line="360" w:lineRule="auto"/>
        <w:ind w:left="840" w:firstLine="0" w:firstLineChars="0"/>
        <w:jc w:val="left"/>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b/>
          <w:szCs w:val="21"/>
        </w:rPr>
      </w:pPr>
      <w:r>
        <w:rPr>
          <w:rFonts w:hint="eastAsia" w:asciiTheme="minorHAnsi" w:hAnsiTheme="minorHAnsi" w:eastAsiaTheme="majorEastAsia" w:cstheme="minorHAnsi"/>
          <w:b/>
          <w:szCs w:val="21"/>
        </w:rPr>
        <w:t>四、项目详情</w:t>
      </w:r>
    </w:p>
    <w:p>
      <w:pPr>
        <w:widowControl/>
        <w:spacing w:line="360" w:lineRule="auto"/>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课程日期</w:t>
      </w:r>
      <w:r>
        <w:rPr>
          <w:rFonts w:cs="Calibri" w:asciiTheme="minorHAnsi" w:hAnsiTheme="minorHAnsi"/>
          <w:szCs w:val="21"/>
        </w:rPr>
        <w:t>】</w:t>
      </w:r>
    </w:p>
    <w:p>
      <w:pPr>
        <w:widowControl/>
        <w:spacing w:line="360" w:lineRule="auto"/>
        <w:jc w:val="left"/>
        <w:rPr>
          <w:rFonts w:asciiTheme="minorHAnsi" w:hAnsiTheme="minorHAnsi" w:eastAsiaTheme="majorEastAsia" w:cstheme="minorHAnsi"/>
          <w:b/>
          <w:szCs w:val="21"/>
        </w:rPr>
      </w:pPr>
      <w:r>
        <w:rPr>
          <w:rFonts w:asciiTheme="minorHAnsi" w:hAnsiTheme="minorHAnsi" w:eastAsiaTheme="majorEastAsia" w:cstheme="minorHAnsi"/>
          <w:b/>
          <w:szCs w:val="21"/>
        </w:rPr>
        <w:t>2020年</w:t>
      </w:r>
      <w:r>
        <w:rPr>
          <w:rFonts w:hint="eastAsia" w:asciiTheme="minorHAnsi" w:hAnsiTheme="minorHAnsi" w:eastAsiaTheme="majorEastAsia" w:cstheme="minorHAnsi"/>
          <w:b/>
          <w:szCs w:val="21"/>
        </w:rPr>
        <w:t xml:space="preserve">1月6日 </w:t>
      </w:r>
      <w:r>
        <w:rPr>
          <w:rFonts w:asciiTheme="minorHAnsi" w:hAnsiTheme="minorHAnsi" w:eastAsiaTheme="majorEastAsia" w:cstheme="minorHAnsi"/>
          <w:b/>
          <w:szCs w:val="21"/>
        </w:rPr>
        <w:t>–</w:t>
      </w:r>
      <w:r>
        <w:rPr>
          <w:rFonts w:hint="eastAsia" w:asciiTheme="minorHAnsi" w:hAnsiTheme="minorHAnsi" w:eastAsiaTheme="majorEastAsia" w:cstheme="minorHAnsi"/>
          <w:b/>
          <w:szCs w:val="21"/>
        </w:rPr>
        <w:t xml:space="preserve"> 1月31日，或2</w:t>
      </w:r>
      <w:r>
        <w:rPr>
          <w:rFonts w:asciiTheme="minorHAnsi" w:hAnsiTheme="minorHAnsi" w:eastAsiaTheme="majorEastAsia" w:cstheme="minorHAnsi"/>
          <w:b/>
          <w:szCs w:val="21"/>
        </w:rPr>
        <w:t>月</w:t>
      </w:r>
      <w:r>
        <w:rPr>
          <w:rFonts w:hint="eastAsia" w:asciiTheme="minorHAnsi" w:hAnsiTheme="minorHAnsi" w:eastAsiaTheme="majorEastAsia" w:cstheme="minorHAnsi"/>
          <w:b/>
          <w:szCs w:val="21"/>
        </w:rPr>
        <w:t>3</w:t>
      </w:r>
      <w:r>
        <w:rPr>
          <w:rFonts w:asciiTheme="minorHAnsi" w:hAnsiTheme="minorHAnsi" w:eastAsiaTheme="majorEastAsia" w:cstheme="minorHAnsi"/>
          <w:b/>
          <w:szCs w:val="21"/>
        </w:rPr>
        <w:t xml:space="preserve">日 – </w:t>
      </w:r>
      <w:r>
        <w:rPr>
          <w:rFonts w:hint="eastAsia" w:asciiTheme="minorHAnsi" w:hAnsiTheme="minorHAnsi" w:eastAsiaTheme="majorEastAsia" w:cstheme="minorHAnsi"/>
          <w:b/>
          <w:szCs w:val="21"/>
        </w:rPr>
        <w:t>2</w:t>
      </w:r>
      <w:r>
        <w:rPr>
          <w:rFonts w:asciiTheme="minorHAnsi" w:hAnsiTheme="minorHAnsi" w:eastAsiaTheme="majorEastAsia" w:cstheme="minorHAnsi"/>
          <w:b/>
          <w:szCs w:val="21"/>
        </w:rPr>
        <w:t>月2</w:t>
      </w:r>
      <w:r>
        <w:rPr>
          <w:rFonts w:hint="eastAsia" w:asciiTheme="minorHAnsi" w:hAnsiTheme="minorHAnsi" w:eastAsiaTheme="majorEastAsia" w:cstheme="minorHAnsi"/>
          <w:b/>
          <w:szCs w:val="21"/>
        </w:rPr>
        <w:t>8</w:t>
      </w:r>
      <w:r>
        <w:rPr>
          <w:rFonts w:asciiTheme="minorHAnsi" w:hAnsiTheme="minorHAnsi" w:eastAsiaTheme="majorEastAsia" w:cstheme="minorHAnsi"/>
          <w:b/>
          <w:szCs w:val="21"/>
        </w:rPr>
        <w:t>日</w:t>
      </w:r>
      <w:r>
        <w:rPr>
          <w:rFonts w:asciiTheme="minorHAnsi" w:hAnsiTheme="minorHAnsi" w:eastAsiaTheme="majorEastAsia" w:cstheme="minorHAnsi"/>
          <w:b/>
          <w:bCs/>
          <w:kern w:val="0"/>
          <w:szCs w:val="21"/>
        </w:rPr>
        <w:br w:type="textWrapping"/>
      </w:r>
      <w:r>
        <w:rPr>
          <w:rFonts w:cs="Calibri" w:asciiTheme="minorHAnsi" w:hAnsiTheme="minorHAnsi"/>
          <w:szCs w:val="21"/>
        </w:rPr>
        <w:t>【</w:t>
      </w:r>
      <w:r>
        <w:rPr>
          <w:rFonts w:hint="eastAsia" w:cs="Calibri" w:asciiTheme="minorHAnsi" w:hAnsiTheme="minorHAnsi"/>
          <w:b/>
          <w:szCs w:val="21"/>
        </w:rPr>
        <w:t>课程内容</w:t>
      </w:r>
      <w:r>
        <w:rPr>
          <w:rFonts w:cs="Calibri" w:asciiTheme="minorHAnsi" w:hAnsiTheme="minorHAnsi"/>
          <w:szCs w:val="21"/>
        </w:rPr>
        <w:t>】</w:t>
      </w:r>
    </w:p>
    <w:p>
      <w:pPr>
        <w:spacing w:line="360" w:lineRule="auto"/>
        <w:ind w:firstLine="420" w:firstLineChars="200"/>
        <w:rPr>
          <w:rFonts w:cs="Calibri" w:asciiTheme="minorHAnsi" w:hAnsiTheme="minorHAnsi"/>
          <w:szCs w:val="21"/>
        </w:rPr>
      </w:pPr>
      <w:r>
        <w:rPr>
          <w:rFonts w:hint="eastAsia" w:asciiTheme="minorHAnsi" w:hAnsiTheme="minorHAnsi" w:eastAsiaTheme="majorEastAsia" w:cstheme="minorHAnsi"/>
          <w:szCs w:val="21"/>
        </w:rPr>
        <w:t>本课程旨在通过课堂学习与社会文化活动提升学生的英语运用能力，每周约20学时，课程设计基于跨文化沟通，侧重口语表达与听力理解的提高。该课程从高级初学者至高级共分为五个级别，</w:t>
      </w:r>
      <w:r>
        <w:rPr>
          <w:rFonts w:asciiTheme="minorHAnsi" w:hAnsiTheme="minorHAnsi" w:eastAsiaTheme="majorEastAsia" w:cstheme="minorHAnsi"/>
          <w:szCs w:val="21"/>
        </w:rPr>
        <w:t>参加项目的学生</w:t>
      </w:r>
      <w:r>
        <w:rPr>
          <w:rFonts w:hint="eastAsia" w:asciiTheme="minorHAnsi" w:hAnsiTheme="minorHAnsi" w:eastAsiaTheme="majorEastAsia" w:cstheme="minorHAnsi"/>
          <w:szCs w:val="21"/>
        </w:rPr>
        <w:t>将在</w:t>
      </w:r>
      <w:r>
        <w:rPr>
          <w:rFonts w:cs="Calibri" w:asciiTheme="minorHAnsi" w:hAnsiTheme="minorHAnsi"/>
          <w:szCs w:val="21"/>
        </w:rPr>
        <w:t>课程首日参加口语与听力测试</w:t>
      </w:r>
      <w:r>
        <w:rPr>
          <w:rFonts w:hint="eastAsia" w:cs="Calibri" w:asciiTheme="minorHAnsi" w:hAnsiTheme="minorHAnsi"/>
          <w:szCs w:val="21"/>
        </w:rPr>
        <w:t>，并</w:t>
      </w:r>
      <w:r>
        <w:rPr>
          <w:rFonts w:cs="Calibri" w:asciiTheme="minorHAnsi" w:hAnsiTheme="minorHAnsi"/>
          <w:szCs w:val="21"/>
        </w:rPr>
        <w:t>根据测试结果进行分级，以确定参加哪个级别的英语课程。</w:t>
      </w:r>
    </w:p>
    <w:p>
      <w:pPr>
        <w:pStyle w:val="19"/>
        <w:numPr>
          <w:ilvl w:val="0"/>
          <w:numId w:val="3"/>
        </w:numPr>
        <w:spacing w:line="360" w:lineRule="auto"/>
        <w:ind w:firstLineChars="0"/>
        <w:rPr>
          <w:rFonts w:cs="Calibri" w:asciiTheme="minorHAnsi" w:hAnsiTheme="minorHAnsi"/>
          <w:szCs w:val="21"/>
        </w:rPr>
      </w:pPr>
      <w:r>
        <w:rPr>
          <w:rFonts w:hint="eastAsia" w:cs="Calibri" w:asciiTheme="minorHAnsi" w:hAnsiTheme="minorHAnsi"/>
          <w:szCs w:val="21"/>
        </w:rPr>
        <w:t>授课</w:t>
      </w:r>
      <w:r>
        <w:rPr>
          <w:rFonts w:cs="Calibri" w:asciiTheme="minorHAnsi" w:hAnsiTheme="minorHAnsi"/>
          <w:szCs w:val="21"/>
        </w:rPr>
        <w:t>时间通常为每周一至周四的上午</w:t>
      </w:r>
      <w:r>
        <w:rPr>
          <w:rFonts w:hint="eastAsia" w:cs="Calibri" w:asciiTheme="minorHAnsi" w:hAnsiTheme="minorHAnsi"/>
          <w:szCs w:val="21"/>
        </w:rPr>
        <w:t>9点-11点半与下午12点半-3点；</w:t>
      </w:r>
    </w:p>
    <w:p>
      <w:pPr>
        <w:pStyle w:val="19"/>
        <w:numPr>
          <w:ilvl w:val="0"/>
          <w:numId w:val="3"/>
        </w:numPr>
        <w:spacing w:line="360" w:lineRule="auto"/>
        <w:ind w:firstLineChars="0"/>
        <w:rPr>
          <w:rFonts w:cs="Calibri" w:asciiTheme="minorHAnsi" w:hAnsiTheme="minorHAnsi"/>
          <w:szCs w:val="21"/>
        </w:rPr>
      </w:pPr>
      <w:r>
        <w:rPr>
          <w:rFonts w:hint="eastAsia" w:cs="Calibri" w:asciiTheme="minorHAnsi" w:hAnsiTheme="minorHAnsi"/>
          <w:szCs w:val="21"/>
        </w:rPr>
        <w:t>每周三傍晚5点-7点，学生可参加国际口语对话俱乐部活动，进一步锻炼自己的口语表达；</w:t>
      </w:r>
    </w:p>
    <w:p>
      <w:pPr>
        <w:pStyle w:val="19"/>
        <w:numPr>
          <w:ilvl w:val="0"/>
          <w:numId w:val="3"/>
        </w:numPr>
        <w:spacing w:line="360" w:lineRule="auto"/>
        <w:ind w:firstLineChars="0"/>
        <w:rPr>
          <w:rFonts w:cs="Calibri" w:asciiTheme="minorHAnsi" w:hAnsiTheme="minorHAnsi"/>
          <w:szCs w:val="21"/>
        </w:rPr>
      </w:pPr>
      <w:r>
        <w:rPr>
          <w:rFonts w:hint="eastAsia" w:cs="Calibri" w:asciiTheme="minorHAnsi" w:hAnsiTheme="minorHAnsi"/>
          <w:szCs w:val="21"/>
        </w:rPr>
        <w:t>每周五全天，学生将参加项目安排的实地参观或社会文化活动，如参观皇家博物馆、公园游览、参加咖啡馆社交活动等，与当地居民零距离交流，尽情探索维多利亚这座城市；</w:t>
      </w:r>
    </w:p>
    <w:p>
      <w:pPr>
        <w:pStyle w:val="19"/>
        <w:numPr>
          <w:ilvl w:val="0"/>
          <w:numId w:val="3"/>
        </w:numPr>
        <w:spacing w:line="360" w:lineRule="auto"/>
        <w:ind w:firstLineChars="0"/>
        <w:rPr>
          <w:rFonts w:cs="Calibri" w:asciiTheme="minorHAnsi" w:hAnsiTheme="minorHAnsi"/>
          <w:szCs w:val="21"/>
        </w:rPr>
      </w:pPr>
      <w:r>
        <w:rPr>
          <w:rFonts w:hint="eastAsia" w:cs="Calibri" w:asciiTheme="minorHAnsi" w:hAnsiTheme="minorHAnsi"/>
          <w:szCs w:val="21"/>
        </w:rPr>
        <w:t>周末，学生还可以在维多利亚大学文化助理的陪同下，继续参加更多免费或自费的丰富多彩的活动，比如海上观鲸、观看冰球比赛、温哥华之行等。</w:t>
      </w:r>
      <w:r>
        <w:rPr>
          <w:rFonts w:cs="Calibri" w:asciiTheme="minorHAnsi" w:hAnsiTheme="minorHAnsi"/>
          <w:szCs w:val="21"/>
        </w:rPr>
        <w:br w:type="textWrapping"/>
      </w:r>
      <w:r>
        <w:rPr>
          <w:rFonts w:hint="eastAsia" w:cs="Calibri" w:asciiTheme="minorHAnsi" w:hAnsiTheme="minorHAnsi"/>
          <w:color w:val="FF0000"/>
          <w:szCs w:val="21"/>
        </w:rPr>
        <w:t xml:space="preserve">  </w:t>
      </w:r>
      <w:r>
        <w:rPr>
          <w:rFonts w:hint="eastAsia" w:cs="Calibri" w:asciiTheme="minorHAnsi" w:hAnsiTheme="minorHAnsi"/>
          <w:szCs w:val="21"/>
        </w:rPr>
        <w:t xml:space="preserve"> </w:t>
      </w:r>
    </w:p>
    <w:p>
      <w:pPr>
        <w:spacing w:line="360" w:lineRule="auto"/>
        <w:ind w:firstLine="420" w:firstLineChars="200"/>
        <w:rPr>
          <w:rFonts w:cs="Calibri" w:asciiTheme="minorHAnsi" w:hAnsiTheme="minorHAnsi"/>
          <w:szCs w:val="21"/>
        </w:rPr>
      </w:pPr>
      <w:r>
        <w:rPr>
          <w:szCs w:val="21"/>
        </w:rPr>
        <w:drawing>
          <wp:anchor distT="0" distB="0" distL="114300" distR="114300" simplePos="0" relativeHeight="251662336" behindDoc="0" locked="0" layoutInCell="1" allowOverlap="1">
            <wp:simplePos x="0" y="0"/>
            <wp:positionH relativeFrom="column">
              <wp:posOffset>-3175</wp:posOffset>
            </wp:positionH>
            <wp:positionV relativeFrom="paragraph">
              <wp:posOffset>1343025</wp:posOffset>
            </wp:positionV>
            <wp:extent cx="5400675" cy="2368550"/>
            <wp:effectExtent l="0" t="0" r="952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400675" cy="2368550"/>
                    </a:xfrm>
                    <a:prstGeom prst="rect">
                      <a:avLst/>
                    </a:prstGeom>
                  </pic:spPr>
                </pic:pic>
              </a:graphicData>
            </a:graphic>
          </wp:anchor>
        </w:drawing>
      </w:r>
      <w:r>
        <w:rPr>
          <w:rFonts w:hint="eastAsia" w:cs="Calibri" w:asciiTheme="minorHAnsi" w:hAnsiTheme="minorHAnsi"/>
          <w:szCs w:val="21"/>
        </w:rPr>
        <w:t>项目学生均可获得</w:t>
      </w:r>
      <w:r>
        <w:rPr>
          <w:rFonts w:hint="eastAsia" w:asciiTheme="minorHAnsi" w:hAnsiTheme="minorHAnsi" w:eastAsiaTheme="majorEastAsia" w:cstheme="minorHAnsi"/>
          <w:szCs w:val="21"/>
        </w:rPr>
        <w:t>维多利亚大学</w:t>
      </w:r>
      <w:r>
        <w:rPr>
          <w:rFonts w:hint="eastAsia" w:cs="Calibri" w:asciiTheme="minorHAnsi" w:hAnsiTheme="minorHAnsi"/>
          <w:szCs w:val="21"/>
        </w:rPr>
        <w:t>正式注册的学生证，凭借学生证可在项目期内，按校方规定使用学校的校园设施与教育资源，包括图书馆、健身房、活动中心等。 学生将入住由校方管理并安排的寄宿家庭（含餐），使学生能够更加近距离地体验当地社会文化，迅速提高自己的语言水平；</w:t>
      </w:r>
      <w:r>
        <w:rPr>
          <w:rFonts w:cs="Calibri" w:asciiTheme="minorHAnsi" w:hAnsiTheme="minorHAnsi"/>
          <w:szCs w:val="21"/>
        </w:rPr>
        <w:t xml:space="preserve"> </w:t>
      </w:r>
    </w:p>
    <w:p>
      <w:pPr>
        <w:spacing w:line="360" w:lineRule="auto"/>
        <w:ind w:firstLine="440" w:firstLineChars="200"/>
        <w:rPr>
          <w:rFonts w:cs="Calibri" w:asciiTheme="minorHAnsi" w:hAnsiTheme="minorHAnsi"/>
          <w:sz w:val="22"/>
          <w:szCs w:val="22"/>
        </w:rPr>
      </w:pPr>
    </w:p>
    <w:p>
      <w:pPr>
        <w:spacing w:line="360" w:lineRule="auto"/>
        <w:rPr>
          <w:rFonts w:ascii="Calibri" w:hAnsi="Calibri" w:cs="Calibri"/>
        </w:rPr>
      </w:pPr>
      <w:r>
        <w:rPr>
          <w:rFonts w:cs="Calibri" w:asciiTheme="minorHAnsi" w:hAnsiTheme="minorHAnsi"/>
          <w:szCs w:val="21"/>
        </w:rPr>
        <w:t>【</w:t>
      </w:r>
      <w:r>
        <w:rPr>
          <w:rFonts w:hint="eastAsia" w:cs="Calibri" w:asciiTheme="minorHAnsi" w:hAnsiTheme="minorHAnsi"/>
          <w:b/>
          <w:szCs w:val="21"/>
        </w:rPr>
        <w:t>项目证书</w:t>
      </w:r>
      <w:r>
        <w:rPr>
          <w:rFonts w:cs="Calibri" w:asciiTheme="minorHAnsi" w:hAnsiTheme="minorHAnsi"/>
          <w:szCs w:val="21"/>
        </w:rPr>
        <w:t>】</w:t>
      </w:r>
    </w:p>
    <w:p>
      <w:pPr>
        <w:ind w:firstLine="420" w:firstLineChars="200"/>
        <w:rPr>
          <w:rFonts w:ascii="Calibri" w:hAnsi="Calibri" w:cs="Calibri"/>
        </w:rPr>
      </w:pPr>
      <w:r>
        <w:rPr>
          <w:rFonts w:hint="eastAsia" w:asciiTheme="minorHAnsi" w:hAnsiTheme="minorHAnsi" w:eastAsiaTheme="majorEastAsia" w:cstheme="minorHAnsi"/>
          <w:szCs w:val="21"/>
        </w:rPr>
        <w:t>顺利完成所有课程，并通过学术考核的学生，将获得维多利亚大学出具的正式成绩单及学习证明。</w:t>
      </w:r>
    </w:p>
    <w:p>
      <w:pPr>
        <w:rPr>
          <w:rFonts w:ascii="Calibri" w:hAnsi="Calibri" w:cs="Calibri"/>
        </w:rPr>
      </w:pPr>
    </w:p>
    <w:p>
      <w:pPr>
        <w:rPr>
          <w:rFonts w:ascii="Calibri" w:hAnsi="Calibri" w:cs="Calibri"/>
        </w:rPr>
      </w:pPr>
      <w:r>
        <w:drawing>
          <wp:inline distT="0" distB="0" distL="0" distR="0">
            <wp:extent cx="2733675" cy="207137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2733675" cy="2071418"/>
                    </a:xfrm>
                    <a:prstGeom prst="rect">
                      <a:avLst/>
                    </a:prstGeom>
                  </pic:spPr>
                </pic:pic>
              </a:graphicData>
            </a:graphic>
          </wp:inline>
        </w:drawing>
      </w:r>
      <w:r>
        <w:rPr>
          <w:rFonts w:hint="eastAsia" w:ascii="Calibri" w:hAnsi="Calibri" w:cs="Calibri"/>
        </w:rPr>
        <w:t xml:space="preserve">  图：维多利亚语言项目证书样图</w:t>
      </w:r>
    </w:p>
    <w:p>
      <w:pPr>
        <w:rPr>
          <w:rFonts w:ascii="Calibri" w:hAnsi="Calibri" w:cs="Calibri"/>
        </w:rPr>
      </w:pP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asciiTheme="minorHAnsi" w:hAnsiTheme="minorHAnsi" w:eastAsiaTheme="majorEastAsia" w:cstheme="minorHAnsi"/>
          <w:b/>
          <w:bCs/>
          <w:kern w:val="0"/>
          <w:szCs w:val="21"/>
        </w:rPr>
        <w:t>项目</w:t>
      </w:r>
      <w:r>
        <w:rPr>
          <w:rFonts w:asciiTheme="minorHAnsi" w:hAnsiTheme="minorHAnsi" w:eastAsiaTheme="majorEastAsia" w:cstheme="minorHAnsi"/>
          <w:b/>
          <w:bCs/>
          <w:kern w:val="0"/>
          <w:szCs w:val="21"/>
        </w:rPr>
        <w:t>费用</w:t>
      </w:r>
      <w:r>
        <w:rPr>
          <w:rFonts w:cs="Calibri" w:asciiTheme="minorHAnsi" w:hAnsiTheme="minorHAnsi"/>
          <w:szCs w:val="21"/>
        </w:rPr>
        <w:t>】</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项目总费用</w:t>
            </w: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约2,933加元（约合人民币1.5万元）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费用包括：</w:t>
            </w:r>
          </w:p>
        </w:tc>
        <w:tc>
          <w:tcPr>
            <w:tcW w:w="6571"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课程申请费、</w:t>
            </w:r>
            <w:r>
              <w:rPr>
                <w:rFonts w:hint="eastAsia" w:cs="Calibri"/>
                <w:color w:val="000000"/>
                <w:sz w:val="22"/>
                <w:szCs w:val="22"/>
              </w:rPr>
              <w:t>学费、学生服务费（含医疗保险）与项目设计管理费</w:t>
            </w:r>
            <w:r>
              <w:rPr>
                <w:rFonts w:hint="eastAsia" w:asciiTheme="minorHAnsi" w:hAnsiTheme="minorHAnsi" w:eastAsiaTheme="majorEastAsia" w:cstheme="minorHAnsi"/>
                <w:szCs w:val="21"/>
              </w:rPr>
              <w:t>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费用不包括：</w:t>
            </w: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国际机票、签证费、住宿费、个人生活费</w:t>
            </w:r>
          </w:p>
          <w:p>
            <w:pPr>
              <w:spacing w:line="360" w:lineRule="auto"/>
              <w:rPr>
                <w:rFonts w:cs="Calibri" w:asciiTheme="minorHAnsi" w:hAnsiTheme="minorHAnsi"/>
                <w:sz w:val="22"/>
                <w:szCs w:val="22"/>
              </w:rPr>
            </w:pPr>
            <w:r>
              <w:rPr>
                <w:rFonts w:hint="eastAsia" w:asciiTheme="minorHAnsi" w:hAnsiTheme="minorHAnsi" w:eastAsiaTheme="majorEastAsia" w:cstheme="minorHAnsi"/>
                <w:szCs w:val="21"/>
              </w:rPr>
              <w:t>注：4周语言课程的寄宿费用约为1</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250加元（含三餐）</w:t>
            </w:r>
          </w:p>
        </w:tc>
      </w:tr>
    </w:tbl>
    <w:p>
      <w:pPr>
        <w:spacing w:line="360" w:lineRule="auto"/>
        <w:rPr>
          <w:rFonts w:asciiTheme="minorHAnsi" w:hAnsiTheme="minorHAnsi" w:eastAsiaTheme="majorEastAsia" w:cstheme="minorHAnsi"/>
          <w:b/>
          <w:bCs/>
          <w:kern w:val="0"/>
          <w:szCs w:val="21"/>
        </w:rPr>
      </w:pPr>
    </w:p>
    <w:p>
      <w:pPr>
        <w:spacing w:line="360" w:lineRule="auto"/>
        <w:rPr>
          <w:rFonts w:asciiTheme="minorHAnsi" w:hAnsiTheme="minorHAnsi" w:eastAsiaTheme="majorEastAsia" w:cstheme="minorHAnsi"/>
          <w:b/>
          <w:kern w:val="0"/>
          <w:szCs w:val="21"/>
        </w:rPr>
      </w:pPr>
      <w:r>
        <w:rPr>
          <w:rFonts w:hint="eastAsia" w:asciiTheme="minorHAnsi" w:hAnsiTheme="minorHAnsi" w:eastAsiaTheme="majorEastAsia" w:cstheme="minorHAnsi"/>
          <w:b/>
          <w:bCs/>
          <w:kern w:val="0"/>
          <w:szCs w:val="21"/>
        </w:rPr>
        <w:t>五</w:t>
      </w:r>
      <w:r>
        <w:rPr>
          <w:rFonts w:asciiTheme="minorHAnsi" w:hAnsiTheme="minorHAnsi" w:eastAsiaTheme="majorEastAsia" w:cstheme="minorHAnsi"/>
          <w:b/>
          <w:bCs/>
          <w:kern w:val="0"/>
          <w:szCs w:val="21"/>
        </w:rPr>
        <w:t>、</w:t>
      </w:r>
      <w:r>
        <w:rPr>
          <w:rFonts w:hint="eastAsia" w:asciiTheme="minorHAnsi" w:hAnsiTheme="minorHAnsi" w:eastAsiaTheme="majorEastAsia" w:cstheme="minorHAnsi"/>
          <w:b/>
          <w:bCs/>
          <w:kern w:val="0"/>
          <w:szCs w:val="21"/>
        </w:rPr>
        <w:t>项目申请</w:t>
      </w:r>
    </w:p>
    <w:p>
      <w:pPr>
        <w:pStyle w:val="19"/>
        <w:widowControl/>
        <w:numPr>
          <w:ilvl w:val="0"/>
          <w:numId w:val="4"/>
        </w:numPr>
        <w:spacing w:line="360" w:lineRule="auto"/>
        <w:ind w:firstLineChars="0"/>
        <w:jc w:val="left"/>
        <w:rPr>
          <w:rFonts w:cs="Calibri" w:asciiTheme="minorHAnsi" w:hAnsiTheme="minorHAnsi"/>
          <w:szCs w:val="21"/>
        </w:rPr>
      </w:pPr>
      <w:bookmarkStart w:id="0" w:name="_GoBack"/>
      <w:bookmarkEnd w:id="0"/>
      <w:r>
        <w:rPr>
          <w:rFonts w:asciiTheme="minorHAnsi" w:hAnsiTheme="minorHAnsi" w:eastAsiaTheme="majorEastAsia" w:cstheme="minorHAnsi"/>
          <w:b/>
          <w:kern w:val="0"/>
          <w:szCs w:val="21"/>
        </w:rPr>
        <w:t>选拔要求</w:t>
      </w:r>
    </w:p>
    <w:p>
      <w:pPr>
        <w:pStyle w:val="19"/>
        <w:numPr>
          <w:ilvl w:val="0"/>
          <w:numId w:val="5"/>
        </w:numPr>
        <w:spacing w:line="360" w:lineRule="auto"/>
        <w:ind w:left="0" w:firstLine="283" w:firstLineChars="135"/>
        <w:rPr>
          <w:rFonts w:asciiTheme="minorHAnsi" w:hAnsiTheme="minorHAnsi" w:eastAsiaTheme="majorEastAsia" w:cstheme="minorHAnsi"/>
          <w:szCs w:val="21"/>
        </w:rPr>
      </w:pPr>
      <w:r>
        <w:rPr>
          <w:rFonts w:asciiTheme="minorHAnsi" w:hAnsiTheme="minorHAnsi" w:eastAsiaTheme="majorEastAsia" w:cstheme="minorHAnsi"/>
          <w:szCs w:val="21"/>
        </w:rPr>
        <w:t>仅限本校全日制在校生；且成绩优异、道德品质好，在校期间未受过纪律处分，身心健康，能顺利完成</w:t>
      </w:r>
      <w:r>
        <w:rPr>
          <w:rFonts w:hint="eastAsia" w:asciiTheme="minorHAnsi" w:hAnsiTheme="minorHAnsi" w:eastAsiaTheme="majorEastAsia" w:cstheme="minorHAnsi"/>
          <w:szCs w:val="21"/>
        </w:rPr>
        <w:t>海外</w:t>
      </w:r>
      <w:r>
        <w:rPr>
          <w:rFonts w:asciiTheme="minorHAnsi" w:hAnsiTheme="minorHAnsi" w:eastAsiaTheme="majorEastAsia" w:cstheme="minorHAnsi"/>
          <w:szCs w:val="21"/>
        </w:rPr>
        <w:t>学习任务；</w:t>
      </w:r>
    </w:p>
    <w:p>
      <w:pPr>
        <w:pStyle w:val="19"/>
        <w:numPr>
          <w:ilvl w:val="0"/>
          <w:numId w:val="5"/>
        </w:numPr>
        <w:spacing w:line="360" w:lineRule="auto"/>
        <w:ind w:hanging="136"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参加项目的学生在开课时必须年满18岁；</w:t>
      </w:r>
    </w:p>
    <w:p>
      <w:pPr>
        <w:pStyle w:val="19"/>
        <w:numPr>
          <w:ilvl w:val="0"/>
          <w:numId w:val="5"/>
        </w:numPr>
        <w:spacing w:line="360" w:lineRule="auto"/>
        <w:ind w:hanging="136" w:firstLineChars="0"/>
        <w:rPr>
          <w:rFonts w:asciiTheme="minorHAnsi" w:hAnsiTheme="minorHAnsi" w:eastAsiaTheme="majorEastAsia" w:cstheme="minorHAnsi"/>
          <w:szCs w:val="21"/>
        </w:rPr>
      </w:pPr>
      <w:r>
        <w:rPr>
          <w:rFonts w:asciiTheme="minorHAnsi" w:hAnsiTheme="minorHAnsi" w:eastAsiaTheme="majorEastAsia" w:cstheme="minorHAnsi"/>
          <w:szCs w:val="21"/>
        </w:rPr>
        <w:t>具有良好的英语基础</w:t>
      </w:r>
      <w:r>
        <w:rPr>
          <w:rFonts w:hint="eastAsia" w:asciiTheme="minorHAnsi" w:hAnsiTheme="minorHAnsi" w:eastAsiaTheme="majorEastAsia" w:cstheme="minorHAnsi"/>
          <w:szCs w:val="21"/>
        </w:rPr>
        <w:t>，入学后参加</w:t>
      </w:r>
      <w:r>
        <w:rPr>
          <w:rFonts w:asciiTheme="minorHAnsi" w:hAnsiTheme="minorHAnsi" w:eastAsiaTheme="majorEastAsia" w:cstheme="minorHAnsi"/>
          <w:szCs w:val="21"/>
        </w:rPr>
        <w:t>语言分级测试</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 xml:space="preserve"> </w:t>
      </w:r>
    </w:p>
    <w:p>
      <w:pPr>
        <w:pStyle w:val="19"/>
        <w:numPr>
          <w:ilvl w:val="0"/>
          <w:numId w:val="5"/>
        </w:numPr>
        <w:spacing w:line="360" w:lineRule="auto"/>
        <w:ind w:hanging="136" w:firstLineChars="0"/>
        <w:rPr>
          <w:rFonts w:asciiTheme="minorHAnsi" w:hAnsiTheme="minorHAnsi" w:eastAsiaTheme="majorEastAsia" w:cstheme="minorHAnsi"/>
          <w:szCs w:val="21"/>
        </w:rPr>
      </w:pPr>
      <w:r>
        <w:rPr>
          <w:rFonts w:asciiTheme="minorHAnsi" w:hAnsiTheme="minorHAnsi" w:eastAsiaTheme="majorEastAsia" w:cstheme="minorHAnsi"/>
          <w:szCs w:val="21"/>
        </w:rPr>
        <w:t>家庭具有一定经济基础，能够提供访学所需学费及生活费；</w:t>
      </w:r>
    </w:p>
    <w:p>
      <w:pPr>
        <w:pStyle w:val="19"/>
        <w:numPr>
          <w:ilvl w:val="0"/>
          <w:numId w:val="5"/>
        </w:numPr>
        <w:spacing w:line="360" w:lineRule="auto"/>
        <w:ind w:hanging="136" w:firstLineChars="0"/>
        <w:rPr>
          <w:rFonts w:asciiTheme="minorHAnsi" w:hAnsiTheme="minorHAnsi" w:eastAsiaTheme="majorEastAsia" w:cstheme="minorHAnsi"/>
          <w:szCs w:val="21"/>
        </w:rPr>
      </w:pPr>
      <w:r>
        <w:rPr>
          <w:rFonts w:asciiTheme="minorHAnsi" w:hAnsiTheme="minorHAnsi" w:eastAsiaTheme="majorEastAsia" w:cstheme="minorHAnsi"/>
          <w:szCs w:val="21"/>
        </w:rPr>
        <w:t>通过全美国际教育协会的项目面试、</w:t>
      </w:r>
      <w:r>
        <w:rPr>
          <w:rFonts w:hint="eastAsia" w:asciiTheme="minorHAnsi" w:hAnsiTheme="minorHAnsi" w:eastAsiaTheme="majorEastAsia" w:cstheme="minorHAnsi"/>
          <w:szCs w:val="21"/>
        </w:rPr>
        <w:t>加方</w:t>
      </w:r>
      <w:r>
        <w:rPr>
          <w:rFonts w:asciiTheme="minorHAnsi" w:hAnsiTheme="minorHAnsi" w:eastAsiaTheme="majorEastAsia" w:cstheme="minorHAnsi"/>
          <w:szCs w:val="21"/>
        </w:rPr>
        <w:t>大学的学术审核、以及我校院系及国际交流处的派出资格审核。</w:t>
      </w:r>
    </w:p>
    <w:p>
      <w:pPr>
        <w:pStyle w:val="19"/>
        <w:numPr>
          <w:ilvl w:val="0"/>
          <w:numId w:val="4"/>
        </w:numPr>
        <w:spacing w:line="360" w:lineRule="auto"/>
        <w:ind w:firstLineChars="0"/>
        <w:rPr>
          <w:rFonts w:asciiTheme="minorHAnsi" w:hAnsiTheme="minorHAnsi" w:eastAsiaTheme="majorEastAsia" w:cstheme="minorHAnsi"/>
          <w:b/>
          <w:kern w:val="0"/>
          <w:szCs w:val="21"/>
        </w:rPr>
      </w:pPr>
      <w:r>
        <w:rPr>
          <w:rFonts w:asciiTheme="minorHAnsi" w:hAnsiTheme="minorHAnsi" w:eastAsiaTheme="majorEastAsia" w:cstheme="minorHAnsi"/>
          <w:b/>
          <w:kern w:val="0"/>
          <w:szCs w:val="21"/>
        </w:rPr>
        <w:t>项目申请录取方式和报名流程</w:t>
      </w:r>
    </w:p>
    <w:p>
      <w:pPr>
        <w:pStyle w:val="19"/>
        <w:numPr>
          <w:ilvl w:val="0"/>
          <w:numId w:val="6"/>
        </w:numPr>
        <w:spacing w:line="360" w:lineRule="auto"/>
        <w:ind w:firstLineChars="0"/>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学生</w:t>
      </w:r>
      <w:r>
        <w:rPr>
          <w:rFonts w:asciiTheme="minorHAnsi" w:hAnsiTheme="minorHAnsi" w:eastAsiaTheme="majorEastAsia" w:cstheme="minorHAnsi"/>
          <w:kern w:val="0"/>
          <w:szCs w:val="21"/>
        </w:rPr>
        <w:t>本人提出申请，</w:t>
      </w:r>
      <w:r>
        <w:rPr>
          <w:rFonts w:hint="eastAsia" w:asciiTheme="minorHAnsi" w:hAnsiTheme="minorHAnsi" w:eastAsiaTheme="majorEastAsia" w:cstheme="minorHAnsi"/>
          <w:kern w:val="0"/>
          <w:szCs w:val="21"/>
        </w:rPr>
        <w:t>在</w:t>
      </w:r>
      <w:r>
        <w:rPr>
          <w:rFonts w:asciiTheme="minorHAnsi" w:hAnsiTheme="minorHAnsi" w:eastAsiaTheme="majorEastAsia" w:cstheme="minorHAnsi"/>
          <w:kern w:val="0"/>
          <w:szCs w:val="21"/>
        </w:rPr>
        <w:t>学校国际合作交流处（外事处）报名；</w:t>
      </w:r>
    </w:p>
    <w:p>
      <w:pPr>
        <w:spacing w:line="360" w:lineRule="auto"/>
        <w:ind w:left="281" w:leftChars="134"/>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2） 同时登录项目选拔管理机构 -- 全美国际教育协会网站www.usiea.org填写《世界名校访学2019-2020学年冬春项目报名表》，网上报名的时间决定录取的顺序和安排宿舍的顺序</w:t>
      </w:r>
      <w:r>
        <w:rPr>
          <w:rFonts w:asciiTheme="minorHAnsi" w:hAnsiTheme="minorHAnsi" w:eastAsiaTheme="majorEastAsia" w:cstheme="minorHAnsi"/>
          <w:szCs w:val="21"/>
        </w:rPr>
        <w:t>；</w:t>
      </w:r>
    </w:p>
    <w:p>
      <w:pPr>
        <w:pStyle w:val="19"/>
        <w:numPr>
          <w:ilvl w:val="0"/>
          <w:numId w:val="7"/>
        </w:numPr>
        <w:spacing w:line="360" w:lineRule="auto"/>
        <w:ind w:firstLineChars="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学生申请资料经初步审核后，参加面试确定预录取名单</w:t>
      </w:r>
      <w:r>
        <w:rPr>
          <w:rFonts w:asciiTheme="minorHAnsi" w:hAnsiTheme="minorHAnsi" w:eastAsiaTheme="majorEastAsia" w:cstheme="minorHAnsi"/>
          <w:szCs w:val="21"/>
        </w:rPr>
        <w:t>；</w:t>
      </w:r>
    </w:p>
    <w:p>
      <w:pPr>
        <w:pStyle w:val="19"/>
        <w:numPr>
          <w:ilvl w:val="0"/>
          <w:numId w:val="7"/>
        </w:numPr>
        <w:spacing w:line="360" w:lineRule="auto"/>
        <w:ind w:firstLineChars="0"/>
        <w:jc w:val="left"/>
        <w:rPr>
          <w:rFonts w:ascii="Calibri" w:hAnsi="Calibri" w:cs="Calibri"/>
          <w:sz w:val="22"/>
        </w:rPr>
      </w:pPr>
      <w:r>
        <w:rPr>
          <w:rFonts w:ascii="Calibri" w:hAnsi="Calibri" w:cs="Calibri"/>
          <w:sz w:val="22"/>
        </w:rPr>
        <w:t>学生提交正式申请材料并缴纳项目费用，获得学校录取及签证后赴</w:t>
      </w:r>
      <w:r>
        <w:rPr>
          <w:rFonts w:hint="eastAsia" w:ascii="Calibri" w:hAnsi="Calibri" w:cs="Calibri"/>
          <w:sz w:val="22"/>
        </w:rPr>
        <w:t>加</w:t>
      </w:r>
      <w:r>
        <w:rPr>
          <w:rFonts w:ascii="Calibri" w:hAnsi="Calibri" w:cs="Calibri"/>
          <w:sz w:val="22"/>
        </w:rPr>
        <w:t>学习</w:t>
      </w:r>
      <w:r>
        <w:rPr>
          <w:rFonts w:hint="eastAsia" w:ascii="Calibri" w:hAnsi="Calibri" w:cs="Calibri"/>
          <w:sz w:val="22"/>
        </w:rPr>
        <w:t>；</w:t>
      </w:r>
      <w:r>
        <w:rPr>
          <w:rFonts w:hint="eastAsia" w:ascii="Calibri" w:hAnsi="Calibri" w:cs="Calibri"/>
          <w:sz w:val="22"/>
        </w:rPr>
        <w:br w:type="textWrapping"/>
      </w:r>
    </w:p>
    <w:p>
      <w:pPr>
        <w:widowControl/>
        <w:spacing w:line="360" w:lineRule="auto"/>
        <w:jc w:val="left"/>
        <w:rPr>
          <w:rFonts w:cs="宋体" w:asciiTheme="minorHAnsi" w:hAnsiTheme="minorHAnsi"/>
          <w:kern w:val="0"/>
          <w:szCs w:val="21"/>
        </w:rPr>
      </w:pPr>
      <w:r>
        <w:rPr>
          <w:rFonts w:hint="eastAsia" w:cs="宋体" w:asciiTheme="minorHAnsi" w:hAnsiTheme="minorHAnsi"/>
          <w:kern w:val="0"/>
          <w:szCs w:val="21"/>
        </w:rPr>
        <w:t>———————————————————————————————————————</w:t>
      </w:r>
    </w:p>
    <w:p>
      <w:pPr>
        <w:widowControl/>
        <w:jc w:val="left"/>
        <w:rPr>
          <w:rFonts w:cs="宋体" w:asciiTheme="minorHAnsi" w:hAnsiTheme="minorHAnsi"/>
          <w:b/>
          <w:kern w:val="0"/>
          <w:sz w:val="20"/>
          <w:szCs w:val="21"/>
        </w:rPr>
      </w:pPr>
      <w:r>
        <w:rPr>
          <w:rFonts w:hint="eastAsia" w:cs="宋体" w:asciiTheme="minorHAnsi" w:hAnsiTheme="minorHAnsi"/>
          <w:b/>
          <w:kern w:val="0"/>
          <w:sz w:val="20"/>
          <w:szCs w:val="21"/>
        </w:rPr>
        <w:t>关于全美国际教育协会</w:t>
      </w:r>
    </w:p>
    <w:p>
      <w:pPr>
        <w:widowControl/>
        <w:jc w:val="left"/>
        <w:rPr>
          <w:rFonts w:cs="宋体" w:asciiTheme="minorHAnsi" w:hAnsiTheme="minorHAnsi"/>
          <w:b/>
          <w:kern w:val="0"/>
          <w:sz w:val="20"/>
          <w:szCs w:val="21"/>
        </w:rPr>
      </w:pPr>
      <w:r>
        <w:fldChar w:fldCharType="begin"/>
      </w:r>
      <w:r>
        <w:instrText xml:space="preserve"> HYPERLINK "http://www.usiea.org" </w:instrText>
      </w:r>
      <w:r>
        <w:fldChar w:fldCharType="separate"/>
      </w:r>
      <w:r>
        <w:rPr>
          <w:rFonts w:hint="eastAsia" w:cs="宋体" w:asciiTheme="minorHAnsi" w:hAnsiTheme="minorHAnsi"/>
          <w:b/>
          <w:color w:val="0068B7"/>
          <w:kern w:val="0"/>
          <w:sz w:val="20"/>
          <w:szCs w:val="21"/>
        </w:rPr>
        <w:t>www.usiea.org</w:t>
      </w:r>
      <w:r>
        <w:rPr>
          <w:rFonts w:hint="eastAsia" w:cs="宋体" w:asciiTheme="minorHAnsi" w:hAnsiTheme="minorHAnsi"/>
          <w:b/>
          <w:color w:val="0068B7"/>
          <w:kern w:val="0"/>
          <w:sz w:val="20"/>
          <w:szCs w:val="21"/>
        </w:rPr>
        <w:fldChar w:fldCharType="end"/>
      </w:r>
    </w:p>
    <w:p>
      <w:pPr>
        <w:widowControl/>
        <w:jc w:val="left"/>
        <w:rPr>
          <w:rFonts w:cs="宋体" w:asciiTheme="minorHAnsi" w:hAnsiTheme="minorHAnsi"/>
          <w:b/>
          <w:kern w:val="0"/>
          <w:sz w:val="20"/>
          <w:szCs w:val="21"/>
        </w:rPr>
      </w:pPr>
    </w:p>
    <w:p>
      <w:pPr>
        <w:widowControl/>
        <w:jc w:val="left"/>
        <w:rPr>
          <w:rFonts w:cs="宋体" w:asciiTheme="minorHAnsi" w:hAnsiTheme="minorHAnsi"/>
          <w:kern w:val="0"/>
          <w:sz w:val="20"/>
          <w:szCs w:val="21"/>
        </w:rPr>
      </w:pPr>
      <w:r>
        <w:rPr>
          <w:rFonts w:hint="eastAsia" w:cs="宋体" w:asciiTheme="minorHAnsi" w:hAnsiTheme="minorHAnsi"/>
          <w:kern w:val="0"/>
          <w:sz w:val="20"/>
          <w:szCs w:val="21"/>
        </w:rPr>
        <w:t>US International Education Association全美国际教育协会是在美国注册的非营利机构，旨在通过与中外高校的合作，为每一位大学生提供高品质的世界名校访学机会，共同培养具备全球胜任力的优秀大学生，促进不同文化间的沟通、理解与合作。</w:t>
      </w:r>
    </w:p>
    <w:p>
      <w:pPr>
        <w:widowControl/>
        <w:jc w:val="left"/>
        <w:rPr>
          <w:rFonts w:cs="宋体" w:asciiTheme="minorHAnsi" w:hAnsiTheme="minorHAnsi"/>
          <w:kern w:val="0"/>
          <w:sz w:val="20"/>
          <w:szCs w:val="21"/>
        </w:rPr>
      </w:pPr>
    </w:p>
    <w:p>
      <w:pPr>
        <w:widowControl/>
        <w:jc w:val="left"/>
        <w:rPr>
          <w:rFonts w:cs="宋体" w:asciiTheme="minorHAnsi" w:hAnsiTheme="minorHAnsi"/>
          <w:kern w:val="0"/>
          <w:sz w:val="20"/>
          <w:szCs w:val="21"/>
        </w:rPr>
      </w:pPr>
      <w:r>
        <w:rPr>
          <w:rFonts w:hint="eastAsia" w:cs="宋体" w:asciiTheme="minorHAnsi" w:hAnsiTheme="minorHAnsi"/>
          <w:kern w:val="0"/>
          <w:sz w:val="20"/>
          <w:szCs w:val="21"/>
        </w:rPr>
        <w:t>全美国际教育协会受美国宾夕法尼亚大学、哥伦比亚大学、波士顿大学、威斯康星大学麦迪逊分校、加州大学伯克利分校、加州大学圣地亚哥分校、加州大学河滨分校、英国剑桥大学、伦敦政治经济学院、加拿大多伦多大学、麦吉尔大学、英属哥伦比亚大学、澳大利亚昆士兰大学、新南威尔士大学、阿德莱德大学等20多所世界级名校的委托，与中国80多所高校合作选拔品学兼优的学生赴海外参加访学项目。</w:t>
      </w:r>
    </w:p>
    <w:p>
      <w:pPr>
        <w:widowControl/>
        <w:jc w:val="left"/>
        <w:rPr>
          <w:rFonts w:cs="宋体" w:asciiTheme="minorHAnsi" w:hAnsiTheme="minorHAnsi"/>
          <w:kern w:val="0"/>
          <w:sz w:val="20"/>
          <w:szCs w:val="21"/>
        </w:rPr>
      </w:pPr>
    </w:p>
    <w:p>
      <w:pPr>
        <w:widowControl/>
        <w:jc w:val="left"/>
        <w:rPr>
          <w:rFonts w:cs="宋体" w:asciiTheme="minorHAnsi" w:hAnsiTheme="minorHAnsi"/>
          <w:kern w:val="0"/>
          <w:sz w:val="20"/>
          <w:szCs w:val="21"/>
        </w:rPr>
      </w:pPr>
      <w:r>
        <w:rPr>
          <w:rFonts w:hint="eastAsia" w:cs="宋体" w:asciiTheme="minorHAnsi" w:hAnsiTheme="minorHAnsi"/>
          <w:kern w:val="0"/>
          <w:sz w:val="20"/>
          <w:szCs w:val="21"/>
        </w:rPr>
        <w:t>全美国际教育协会在北京、南京、杭州、广州、西安、成都、郑州设有办公室，为中国合作高校和学生提供与访学项目相关的全流程服务。</w:t>
      </w:r>
    </w:p>
    <w:p>
      <w:pPr>
        <w:spacing w:line="360" w:lineRule="auto"/>
        <w:ind w:left="360"/>
        <w:rPr>
          <w:rFonts w:asciiTheme="minorHAnsi" w:hAnsiTheme="minorHAnsi" w:eastAsiaTheme="majorEastAsia" w:cstheme="minorHAnsi"/>
          <w:szCs w:val="21"/>
        </w:rPr>
      </w:pPr>
    </w:p>
    <w:p>
      <w:pPr>
        <w:spacing w:line="360" w:lineRule="auto"/>
        <w:rPr>
          <w:rFonts w:cs="Calibri" w:asciiTheme="minorHAnsi" w:hAnsiTheme="minorHAnsi"/>
          <w:kern w:val="0"/>
          <w:sz w:val="22"/>
        </w:rPr>
      </w:pPr>
      <w:r>
        <w:rPr>
          <w:rFonts w:cs="宋体" w:asciiTheme="minorHAnsi" w:hAnsiTheme="minorHAnsi"/>
          <w:kern w:val="0"/>
          <w:sz w:val="20"/>
          <w:szCs w:val="21"/>
        </w:rPr>
        <w:t>全美国际教育协会官网：</w:t>
      </w:r>
      <w:r>
        <w:fldChar w:fldCharType="begin"/>
      </w:r>
      <w:r>
        <w:instrText xml:space="preserve"> HYPERLINK "http://www.usiea.org" </w:instrText>
      </w:r>
      <w:r>
        <w:fldChar w:fldCharType="separate"/>
      </w:r>
      <w:r>
        <w:rPr>
          <w:rFonts w:cs="Calibri" w:asciiTheme="minorHAnsi" w:hAnsiTheme="minorHAnsi"/>
          <w:color w:val="0068B7"/>
          <w:kern w:val="0"/>
          <w:sz w:val="22"/>
        </w:rPr>
        <w:t>www.usiea.org</w:t>
      </w:r>
      <w:r>
        <w:rPr>
          <w:rFonts w:cs="Calibri" w:asciiTheme="minorHAnsi" w:hAnsiTheme="minorHAnsi"/>
          <w:color w:val="0068B7"/>
          <w:kern w:val="0"/>
          <w:sz w:val="22"/>
        </w:rPr>
        <w:fldChar w:fldCharType="end"/>
      </w:r>
      <w:r>
        <w:rPr>
          <w:rFonts w:cs="Calibri" w:asciiTheme="minorHAnsi" w:hAnsiTheme="minorHAnsi"/>
          <w:kern w:val="0"/>
          <w:sz w:val="22"/>
        </w:rPr>
        <w:t xml:space="preserve"> </w:t>
      </w:r>
    </w:p>
    <w:p>
      <w:pPr>
        <w:spacing w:line="360" w:lineRule="auto"/>
        <w:rPr>
          <w:rFonts w:cs="宋体" w:asciiTheme="minorHAnsi" w:hAnsiTheme="minorHAnsi"/>
          <w:kern w:val="0"/>
          <w:sz w:val="20"/>
          <w:szCs w:val="21"/>
        </w:rPr>
      </w:pPr>
      <w:r>
        <w:rPr>
          <w:rFonts w:cs="宋体" w:asciiTheme="minorHAnsi" w:hAnsiTheme="minorHAnsi"/>
          <w:kern w:val="0"/>
          <w:sz w:val="20"/>
          <w:szCs w:val="21"/>
        </w:rPr>
        <w:t>全美国际教育协会官微：全美国际访学微刊</w:t>
      </w:r>
    </w:p>
    <w:p>
      <w:pPr>
        <w:widowControl/>
        <w:spacing w:line="360" w:lineRule="auto"/>
        <w:jc w:val="left"/>
        <w:rPr>
          <w:rFonts w:cs="Calibri" w:asciiTheme="minorHAnsi" w:hAnsiTheme="minorHAnsi"/>
          <w:kern w:val="0"/>
          <w:sz w:val="22"/>
        </w:rPr>
      </w:pPr>
      <w:r>
        <w:rPr>
          <w:rFonts w:cs="宋体" w:asciiTheme="minorHAnsi" w:hAnsiTheme="minorHAnsi"/>
          <w:kern w:val="0"/>
          <w:sz w:val="20"/>
          <w:szCs w:val="21"/>
        </w:rPr>
        <w:t>项目邮箱咨询：</w:t>
      </w:r>
      <w:r>
        <w:fldChar w:fldCharType="begin"/>
      </w:r>
      <w:r>
        <w:instrText xml:space="preserve"> HYPERLINK "mailto:visituvic@yeah.net" </w:instrText>
      </w:r>
      <w:r>
        <w:fldChar w:fldCharType="separate"/>
      </w:r>
      <w:r>
        <w:rPr>
          <w:rStyle w:val="14"/>
          <w:rFonts w:cs="Calibri" w:asciiTheme="minorHAnsi" w:hAnsiTheme="minorHAnsi"/>
          <w:kern w:val="0"/>
          <w:sz w:val="22"/>
        </w:rPr>
        <w:t>visituvic@yeah.net</w:t>
      </w:r>
      <w:r>
        <w:rPr>
          <w:rStyle w:val="14"/>
          <w:rFonts w:cs="Calibri" w:asciiTheme="minorHAnsi" w:hAnsiTheme="minorHAnsi"/>
          <w:kern w:val="0"/>
          <w:sz w:val="22"/>
        </w:rPr>
        <w:fldChar w:fldCharType="end"/>
      </w:r>
    </w:p>
    <w:p>
      <w:pPr>
        <w:widowControl/>
        <w:spacing w:line="360" w:lineRule="auto"/>
        <w:jc w:val="left"/>
        <w:rPr>
          <w:rFonts w:cs="Calibri" w:asciiTheme="minorHAnsi" w:hAnsiTheme="minorHAnsi"/>
          <w:kern w:val="0"/>
          <w:sz w:val="22"/>
        </w:rPr>
      </w:pPr>
    </w:p>
    <w:p>
      <w:pPr>
        <w:widowControl/>
        <w:spacing w:line="360" w:lineRule="auto"/>
        <w:jc w:val="left"/>
        <w:rPr>
          <w:rFonts w:cs="Calibri" w:asciiTheme="minorHAnsi" w:hAnsiTheme="minorHAnsi"/>
          <w:kern w:val="0"/>
          <w:sz w:val="22"/>
        </w:rPr>
      </w:pP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6311"/>
    <w:multiLevelType w:val="multilevel"/>
    <w:tmpl w:val="154D6311"/>
    <w:lvl w:ilvl="0" w:tentative="0">
      <w:start w:val="3"/>
      <w:numFmt w:val="decimal"/>
      <w:lvlText w:val="%1）"/>
      <w:lvlJc w:val="left"/>
      <w:pPr>
        <w:ind w:left="641" w:hanging="360"/>
      </w:pPr>
      <w:rPr>
        <w:rFonts w:hint="default"/>
      </w:rPr>
    </w:lvl>
    <w:lvl w:ilvl="1" w:tentative="0">
      <w:start w:val="1"/>
      <w:numFmt w:val="lowerLetter"/>
      <w:lvlText w:val="%2)"/>
      <w:lvlJc w:val="left"/>
      <w:pPr>
        <w:ind w:left="1121" w:hanging="420"/>
      </w:pPr>
    </w:lvl>
    <w:lvl w:ilvl="2" w:tentative="0">
      <w:start w:val="1"/>
      <w:numFmt w:val="lowerRoman"/>
      <w:lvlText w:val="%3."/>
      <w:lvlJc w:val="right"/>
      <w:pPr>
        <w:ind w:left="1541" w:hanging="420"/>
      </w:pPr>
    </w:lvl>
    <w:lvl w:ilvl="3" w:tentative="0">
      <w:start w:val="1"/>
      <w:numFmt w:val="decimal"/>
      <w:lvlText w:val="%4."/>
      <w:lvlJc w:val="left"/>
      <w:pPr>
        <w:ind w:left="1961" w:hanging="420"/>
      </w:pPr>
    </w:lvl>
    <w:lvl w:ilvl="4" w:tentative="0">
      <w:start w:val="1"/>
      <w:numFmt w:val="lowerLetter"/>
      <w:lvlText w:val="%5)"/>
      <w:lvlJc w:val="left"/>
      <w:pPr>
        <w:ind w:left="2381" w:hanging="420"/>
      </w:pPr>
    </w:lvl>
    <w:lvl w:ilvl="5" w:tentative="0">
      <w:start w:val="1"/>
      <w:numFmt w:val="lowerRoman"/>
      <w:lvlText w:val="%6."/>
      <w:lvlJc w:val="right"/>
      <w:pPr>
        <w:ind w:left="2801" w:hanging="420"/>
      </w:pPr>
    </w:lvl>
    <w:lvl w:ilvl="6" w:tentative="0">
      <w:start w:val="1"/>
      <w:numFmt w:val="decimal"/>
      <w:lvlText w:val="%7."/>
      <w:lvlJc w:val="left"/>
      <w:pPr>
        <w:ind w:left="3221" w:hanging="420"/>
      </w:pPr>
    </w:lvl>
    <w:lvl w:ilvl="7" w:tentative="0">
      <w:start w:val="1"/>
      <w:numFmt w:val="lowerLetter"/>
      <w:lvlText w:val="%8)"/>
      <w:lvlJc w:val="left"/>
      <w:pPr>
        <w:ind w:left="3641" w:hanging="420"/>
      </w:pPr>
    </w:lvl>
    <w:lvl w:ilvl="8" w:tentative="0">
      <w:start w:val="1"/>
      <w:numFmt w:val="lowerRoman"/>
      <w:lvlText w:val="%9."/>
      <w:lvlJc w:val="right"/>
      <w:pPr>
        <w:ind w:left="4061" w:hanging="420"/>
      </w:pPr>
    </w:lvl>
  </w:abstractNum>
  <w:abstractNum w:abstractNumId="1">
    <w:nsid w:val="1FCA2FC4"/>
    <w:multiLevelType w:val="multilevel"/>
    <w:tmpl w:val="1FCA2FC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27AF22B4"/>
    <w:multiLevelType w:val="multilevel"/>
    <w:tmpl w:val="27AF22B4"/>
    <w:lvl w:ilvl="0" w:tentative="0">
      <w:start w:val="1"/>
      <w:numFmt w:val="decimal"/>
      <w:lvlText w:val="%1)"/>
      <w:lvlJc w:val="left"/>
      <w:pPr>
        <w:ind w:left="703" w:hanging="420"/>
      </w:pPr>
    </w:lvl>
    <w:lvl w:ilvl="1" w:tentative="0">
      <w:start w:val="1"/>
      <w:numFmt w:val="lowerLetter"/>
      <w:lvlText w:val="%2)"/>
      <w:lvlJc w:val="left"/>
      <w:pPr>
        <w:ind w:left="1123" w:hanging="420"/>
      </w:pPr>
    </w:lvl>
    <w:lvl w:ilvl="2" w:tentative="0">
      <w:start w:val="1"/>
      <w:numFmt w:val="lowerRoman"/>
      <w:lvlText w:val="%3."/>
      <w:lvlJc w:val="right"/>
      <w:pPr>
        <w:ind w:left="1543" w:hanging="420"/>
      </w:pPr>
    </w:lvl>
    <w:lvl w:ilvl="3" w:tentative="0">
      <w:start w:val="1"/>
      <w:numFmt w:val="decimal"/>
      <w:lvlText w:val="%4."/>
      <w:lvlJc w:val="left"/>
      <w:pPr>
        <w:ind w:left="1963" w:hanging="420"/>
      </w:pPr>
    </w:lvl>
    <w:lvl w:ilvl="4" w:tentative="0">
      <w:start w:val="1"/>
      <w:numFmt w:val="lowerLetter"/>
      <w:lvlText w:val="%5)"/>
      <w:lvlJc w:val="left"/>
      <w:pPr>
        <w:ind w:left="2383" w:hanging="420"/>
      </w:pPr>
    </w:lvl>
    <w:lvl w:ilvl="5" w:tentative="0">
      <w:start w:val="1"/>
      <w:numFmt w:val="lowerRoman"/>
      <w:lvlText w:val="%6."/>
      <w:lvlJc w:val="right"/>
      <w:pPr>
        <w:ind w:left="2803" w:hanging="420"/>
      </w:pPr>
    </w:lvl>
    <w:lvl w:ilvl="6" w:tentative="0">
      <w:start w:val="1"/>
      <w:numFmt w:val="decimal"/>
      <w:lvlText w:val="%7."/>
      <w:lvlJc w:val="left"/>
      <w:pPr>
        <w:ind w:left="3223" w:hanging="420"/>
      </w:pPr>
    </w:lvl>
    <w:lvl w:ilvl="7" w:tentative="0">
      <w:start w:val="1"/>
      <w:numFmt w:val="lowerLetter"/>
      <w:lvlText w:val="%8)"/>
      <w:lvlJc w:val="left"/>
      <w:pPr>
        <w:ind w:left="3643" w:hanging="420"/>
      </w:pPr>
    </w:lvl>
    <w:lvl w:ilvl="8" w:tentative="0">
      <w:start w:val="1"/>
      <w:numFmt w:val="lowerRoman"/>
      <w:lvlText w:val="%9."/>
      <w:lvlJc w:val="right"/>
      <w:pPr>
        <w:ind w:left="4063" w:hanging="420"/>
      </w:pPr>
    </w:lvl>
  </w:abstractNum>
  <w:abstractNum w:abstractNumId="3">
    <w:nsid w:val="3AFD4BB3"/>
    <w:multiLevelType w:val="multilevel"/>
    <w:tmpl w:val="3AFD4BB3"/>
    <w:lvl w:ilvl="0" w:tentative="0">
      <w:start w:val="1"/>
      <w:numFmt w:val="bullet"/>
      <w:lvlText w:val=""/>
      <w:lvlJc w:val="left"/>
      <w:pPr>
        <w:ind w:left="860" w:hanging="420"/>
      </w:pPr>
      <w:rPr>
        <w:rFonts w:hint="default" w:ascii="Wingdings" w:hAnsi="Wingdings"/>
        <w:sz w:val="13"/>
        <w:szCs w:val="13"/>
      </w:rPr>
    </w:lvl>
    <w:lvl w:ilvl="1" w:tentative="0">
      <w:start w:val="1"/>
      <w:numFmt w:val="bullet"/>
      <w:lvlText w:val=""/>
      <w:lvlJc w:val="left"/>
      <w:pPr>
        <w:ind w:left="1280" w:hanging="420"/>
      </w:pPr>
      <w:rPr>
        <w:rFonts w:hint="default" w:ascii="Wingdings" w:hAnsi="Wingdings"/>
      </w:rPr>
    </w:lvl>
    <w:lvl w:ilvl="2" w:tentative="0">
      <w:start w:val="1"/>
      <w:numFmt w:val="bullet"/>
      <w:lvlText w:val=""/>
      <w:lvlJc w:val="left"/>
      <w:pPr>
        <w:ind w:left="1700" w:hanging="420"/>
      </w:pPr>
      <w:rPr>
        <w:rFonts w:hint="default" w:ascii="Wingdings" w:hAnsi="Wingdings"/>
      </w:rPr>
    </w:lvl>
    <w:lvl w:ilvl="3" w:tentative="0">
      <w:start w:val="1"/>
      <w:numFmt w:val="bullet"/>
      <w:lvlText w:val=""/>
      <w:lvlJc w:val="left"/>
      <w:pPr>
        <w:ind w:left="2120" w:hanging="420"/>
      </w:pPr>
      <w:rPr>
        <w:rFonts w:hint="default" w:ascii="Wingdings" w:hAnsi="Wingdings"/>
      </w:rPr>
    </w:lvl>
    <w:lvl w:ilvl="4" w:tentative="0">
      <w:start w:val="1"/>
      <w:numFmt w:val="bullet"/>
      <w:lvlText w:val=""/>
      <w:lvlJc w:val="left"/>
      <w:pPr>
        <w:ind w:left="2540" w:hanging="420"/>
      </w:pPr>
      <w:rPr>
        <w:rFonts w:hint="default" w:ascii="Wingdings" w:hAnsi="Wingdings"/>
      </w:rPr>
    </w:lvl>
    <w:lvl w:ilvl="5" w:tentative="0">
      <w:start w:val="1"/>
      <w:numFmt w:val="bullet"/>
      <w:lvlText w:val=""/>
      <w:lvlJc w:val="left"/>
      <w:pPr>
        <w:ind w:left="2960" w:hanging="420"/>
      </w:pPr>
      <w:rPr>
        <w:rFonts w:hint="default" w:ascii="Wingdings" w:hAnsi="Wingdings"/>
      </w:rPr>
    </w:lvl>
    <w:lvl w:ilvl="6" w:tentative="0">
      <w:start w:val="1"/>
      <w:numFmt w:val="bullet"/>
      <w:lvlText w:val=""/>
      <w:lvlJc w:val="left"/>
      <w:pPr>
        <w:ind w:left="3380" w:hanging="420"/>
      </w:pPr>
      <w:rPr>
        <w:rFonts w:hint="default" w:ascii="Wingdings" w:hAnsi="Wingdings"/>
      </w:rPr>
    </w:lvl>
    <w:lvl w:ilvl="7" w:tentative="0">
      <w:start w:val="1"/>
      <w:numFmt w:val="bullet"/>
      <w:lvlText w:val=""/>
      <w:lvlJc w:val="left"/>
      <w:pPr>
        <w:ind w:left="3800" w:hanging="420"/>
      </w:pPr>
      <w:rPr>
        <w:rFonts w:hint="default" w:ascii="Wingdings" w:hAnsi="Wingdings"/>
      </w:rPr>
    </w:lvl>
    <w:lvl w:ilvl="8" w:tentative="0">
      <w:start w:val="1"/>
      <w:numFmt w:val="bullet"/>
      <w:lvlText w:val=""/>
      <w:lvlJc w:val="left"/>
      <w:pPr>
        <w:ind w:left="4220" w:hanging="420"/>
      </w:pPr>
      <w:rPr>
        <w:rFonts w:hint="default" w:ascii="Wingdings" w:hAnsi="Wingdings"/>
      </w:rPr>
    </w:lvl>
  </w:abstractNum>
  <w:abstractNum w:abstractNumId="4">
    <w:nsid w:val="47F66D6D"/>
    <w:multiLevelType w:val="multilevel"/>
    <w:tmpl w:val="47F66D6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6B074A81"/>
    <w:multiLevelType w:val="multilevel"/>
    <w:tmpl w:val="6B074A8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7F013D8"/>
    <w:multiLevelType w:val="multilevel"/>
    <w:tmpl w:val="77F013D8"/>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2E62"/>
    <w:rsid w:val="000035D7"/>
    <w:rsid w:val="0000590A"/>
    <w:rsid w:val="00006712"/>
    <w:rsid w:val="00010F31"/>
    <w:rsid w:val="000169DD"/>
    <w:rsid w:val="00017167"/>
    <w:rsid w:val="00022AFD"/>
    <w:rsid w:val="000230BD"/>
    <w:rsid w:val="00023476"/>
    <w:rsid w:val="000236D2"/>
    <w:rsid w:val="00024C64"/>
    <w:rsid w:val="00025206"/>
    <w:rsid w:val="0003068E"/>
    <w:rsid w:val="00030A02"/>
    <w:rsid w:val="00031403"/>
    <w:rsid w:val="00032519"/>
    <w:rsid w:val="000362BD"/>
    <w:rsid w:val="00040016"/>
    <w:rsid w:val="000402B0"/>
    <w:rsid w:val="00041148"/>
    <w:rsid w:val="00041BDA"/>
    <w:rsid w:val="00044B87"/>
    <w:rsid w:val="00046229"/>
    <w:rsid w:val="000519A2"/>
    <w:rsid w:val="00051A3D"/>
    <w:rsid w:val="0005389A"/>
    <w:rsid w:val="00060047"/>
    <w:rsid w:val="0006181E"/>
    <w:rsid w:val="00065242"/>
    <w:rsid w:val="00067D4B"/>
    <w:rsid w:val="000820F9"/>
    <w:rsid w:val="000840CC"/>
    <w:rsid w:val="00085C6D"/>
    <w:rsid w:val="000860BB"/>
    <w:rsid w:val="000868E2"/>
    <w:rsid w:val="00087DB0"/>
    <w:rsid w:val="0009206E"/>
    <w:rsid w:val="000954F4"/>
    <w:rsid w:val="0009585E"/>
    <w:rsid w:val="000A0A86"/>
    <w:rsid w:val="000A2A22"/>
    <w:rsid w:val="000A4030"/>
    <w:rsid w:val="000A5251"/>
    <w:rsid w:val="000A5300"/>
    <w:rsid w:val="000B1A29"/>
    <w:rsid w:val="000C2F7C"/>
    <w:rsid w:val="000C3F5B"/>
    <w:rsid w:val="000C4E56"/>
    <w:rsid w:val="000C5C18"/>
    <w:rsid w:val="000C7850"/>
    <w:rsid w:val="000C7F9A"/>
    <w:rsid w:val="000D3060"/>
    <w:rsid w:val="000D4BC5"/>
    <w:rsid w:val="000E1209"/>
    <w:rsid w:val="000E71FC"/>
    <w:rsid w:val="000E7915"/>
    <w:rsid w:val="000F10F6"/>
    <w:rsid w:val="000F140D"/>
    <w:rsid w:val="000F168E"/>
    <w:rsid w:val="000F6E7C"/>
    <w:rsid w:val="001013E1"/>
    <w:rsid w:val="0010196F"/>
    <w:rsid w:val="001051AF"/>
    <w:rsid w:val="00106BA3"/>
    <w:rsid w:val="00110B1F"/>
    <w:rsid w:val="00110EDA"/>
    <w:rsid w:val="0011231F"/>
    <w:rsid w:val="00112EFC"/>
    <w:rsid w:val="001131EA"/>
    <w:rsid w:val="00116EF3"/>
    <w:rsid w:val="00120A5E"/>
    <w:rsid w:val="0012340B"/>
    <w:rsid w:val="0012488E"/>
    <w:rsid w:val="00124B0D"/>
    <w:rsid w:val="00125024"/>
    <w:rsid w:val="00127C1E"/>
    <w:rsid w:val="00127FE8"/>
    <w:rsid w:val="00131D30"/>
    <w:rsid w:val="00134011"/>
    <w:rsid w:val="00135F93"/>
    <w:rsid w:val="00137744"/>
    <w:rsid w:val="00143294"/>
    <w:rsid w:val="00146AB9"/>
    <w:rsid w:val="00160B3F"/>
    <w:rsid w:val="0016167D"/>
    <w:rsid w:val="00167799"/>
    <w:rsid w:val="00167C8D"/>
    <w:rsid w:val="00170451"/>
    <w:rsid w:val="001738F0"/>
    <w:rsid w:val="00175F78"/>
    <w:rsid w:val="00176F21"/>
    <w:rsid w:val="00182E04"/>
    <w:rsid w:val="001834A2"/>
    <w:rsid w:val="001847B4"/>
    <w:rsid w:val="00186190"/>
    <w:rsid w:val="00192C0F"/>
    <w:rsid w:val="001A0C7A"/>
    <w:rsid w:val="001A281F"/>
    <w:rsid w:val="001A6759"/>
    <w:rsid w:val="001A7D56"/>
    <w:rsid w:val="001B1730"/>
    <w:rsid w:val="001B75CA"/>
    <w:rsid w:val="001C1834"/>
    <w:rsid w:val="001C1A51"/>
    <w:rsid w:val="001C6985"/>
    <w:rsid w:val="001D2C48"/>
    <w:rsid w:val="001D4042"/>
    <w:rsid w:val="001D458C"/>
    <w:rsid w:val="001D4EF4"/>
    <w:rsid w:val="001E31D7"/>
    <w:rsid w:val="001E5D98"/>
    <w:rsid w:val="001E6096"/>
    <w:rsid w:val="001F49A8"/>
    <w:rsid w:val="001F5524"/>
    <w:rsid w:val="00201963"/>
    <w:rsid w:val="00202030"/>
    <w:rsid w:val="00203BFF"/>
    <w:rsid w:val="002133F2"/>
    <w:rsid w:val="00213D09"/>
    <w:rsid w:val="0021575D"/>
    <w:rsid w:val="00215886"/>
    <w:rsid w:val="0021711E"/>
    <w:rsid w:val="002202A8"/>
    <w:rsid w:val="00220E2D"/>
    <w:rsid w:val="002211FB"/>
    <w:rsid w:val="0022214B"/>
    <w:rsid w:val="002274D9"/>
    <w:rsid w:val="00230EA2"/>
    <w:rsid w:val="0023347E"/>
    <w:rsid w:val="00241555"/>
    <w:rsid w:val="002441C6"/>
    <w:rsid w:val="0024447C"/>
    <w:rsid w:val="002449A1"/>
    <w:rsid w:val="0024592F"/>
    <w:rsid w:val="00251642"/>
    <w:rsid w:val="00255140"/>
    <w:rsid w:val="00257563"/>
    <w:rsid w:val="00257E0D"/>
    <w:rsid w:val="00261406"/>
    <w:rsid w:val="00261C11"/>
    <w:rsid w:val="00265EBB"/>
    <w:rsid w:val="00271BCB"/>
    <w:rsid w:val="00272F14"/>
    <w:rsid w:val="00275270"/>
    <w:rsid w:val="0027600D"/>
    <w:rsid w:val="0028056A"/>
    <w:rsid w:val="002852EE"/>
    <w:rsid w:val="002879EC"/>
    <w:rsid w:val="0029179F"/>
    <w:rsid w:val="00292326"/>
    <w:rsid w:val="00295361"/>
    <w:rsid w:val="00296348"/>
    <w:rsid w:val="00297E1A"/>
    <w:rsid w:val="002A402F"/>
    <w:rsid w:val="002B61DD"/>
    <w:rsid w:val="002B7076"/>
    <w:rsid w:val="002C0CD3"/>
    <w:rsid w:val="002C2028"/>
    <w:rsid w:val="002C229B"/>
    <w:rsid w:val="002C27D4"/>
    <w:rsid w:val="002C3134"/>
    <w:rsid w:val="002C500D"/>
    <w:rsid w:val="002C6AEB"/>
    <w:rsid w:val="002C722D"/>
    <w:rsid w:val="002D04D0"/>
    <w:rsid w:val="002D152D"/>
    <w:rsid w:val="002D76B2"/>
    <w:rsid w:val="002D7905"/>
    <w:rsid w:val="002D7B20"/>
    <w:rsid w:val="002E1476"/>
    <w:rsid w:val="002E3299"/>
    <w:rsid w:val="002E4985"/>
    <w:rsid w:val="002E64CC"/>
    <w:rsid w:val="002F04E4"/>
    <w:rsid w:val="002F1A53"/>
    <w:rsid w:val="002F3568"/>
    <w:rsid w:val="002F6F6B"/>
    <w:rsid w:val="002F7AB9"/>
    <w:rsid w:val="0030157A"/>
    <w:rsid w:val="00302995"/>
    <w:rsid w:val="00303D3D"/>
    <w:rsid w:val="003134F7"/>
    <w:rsid w:val="00314A41"/>
    <w:rsid w:val="00314B46"/>
    <w:rsid w:val="0031712B"/>
    <w:rsid w:val="0032092A"/>
    <w:rsid w:val="00321528"/>
    <w:rsid w:val="00321717"/>
    <w:rsid w:val="00321D5F"/>
    <w:rsid w:val="00330E7E"/>
    <w:rsid w:val="00330EF0"/>
    <w:rsid w:val="00333C15"/>
    <w:rsid w:val="00337023"/>
    <w:rsid w:val="003376C4"/>
    <w:rsid w:val="00342D9D"/>
    <w:rsid w:val="00342E7E"/>
    <w:rsid w:val="003440CB"/>
    <w:rsid w:val="00345729"/>
    <w:rsid w:val="003504A0"/>
    <w:rsid w:val="00352A1D"/>
    <w:rsid w:val="00353816"/>
    <w:rsid w:val="00361CCF"/>
    <w:rsid w:val="00361F0C"/>
    <w:rsid w:val="00364A0C"/>
    <w:rsid w:val="003738EA"/>
    <w:rsid w:val="00375491"/>
    <w:rsid w:val="0037571F"/>
    <w:rsid w:val="00376E91"/>
    <w:rsid w:val="003822A8"/>
    <w:rsid w:val="00383DCC"/>
    <w:rsid w:val="00386A4E"/>
    <w:rsid w:val="00386C51"/>
    <w:rsid w:val="00387362"/>
    <w:rsid w:val="00390C9A"/>
    <w:rsid w:val="00390FCA"/>
    <w:rsid w:val="00392494"/>
    <w:rsid w:val="00394A95"/>
    <w:rsid w:val="00396306"/>
    <w:rsid w:val="00397742"/>
    <w:rsid w:val="00397891"/>
    <w:rsid w:val="003A6BB9"/>
    <w:rsid w:val="003B07D0"/>
    <w:rsid w:val="003B4151"/>
    <w:rsid w:val="003B669C"/>
    <w:rsid w:val="003B786E"/>
    <w:rsid w:val="003C6EF7"/>
    <w:rsid w:val="003D092D"/>
    <w:rsid w:val="003D0F7B"/>
    <w:rsid w:val="003D0FE9"/>
    <w:rsid w:val="003D2BCE"/>
    <w:rsid w:val="003D4037"/>
    <w:rsid w:val="003D4529"/>
    <w:rsid w:val="003D4B46"/>
    <w:rsid w:val="003D5F48"/>
    <w:rsid w:val="003D7E14"/>
    <w:rsid w:val="003E01B3"/>
    <w:rsid w:val="003E3199"/>
    <w:rsid w:val="003E7DA0"/>
    <w:rsid w:val="003F050A"/>
    <w:rsid w:val="003F059B"/>
    <w:rsid w:val="003F121C"/>
    <w:rsid w:val="003F50D1"/>
    <w:rsid w:val="003F5F88"/>
    <w:rsid w:val="00401B67"/>
    <w:rsid w:val="0041273F"/>
    <w:rsid w:val="0042204E"/>
    <w:rsid w:val="00426325"/>
    <w:rsid w:val="00437A33"/>
    <w:rsid w:val="004469A3"/>
    <w:rsid w:val="0045270B"/>
    <w:rsid w:val="00454C45"/>
    <w:rsid w:val="004624BE"/>
    <w:rsid w:val="00465A92"/>
    <w:rsid w:val="004679CE"/>
    <w:rsid w:val="00470270"/>
    <w:rsid w:val="00471CBF"/>
    <w:rsid w:val="00472046"/>
    <w:rsid w:val="0048136E"/>
    <w:rsid w:val="00484D0F"/>
    <w:rsid w:val="00485AD1"/>
    <w:rsid w:val="00486AA5"/>
    <w:rsid w:val="00486B7F"/>
    <w:rsid w:val="004878DF"/>
    <w:rsid w:val="004932B6"/>
    <w:rsid w:val="004946E0"/>
    <w:rsid w:val="00495E6D"/>
    <w:rsid w:val="004A1602"/>
    <w:rsid w:val="004A51A8"/>
    <w:rsid w:val="004B49EE"/>
    <w:rsid w:val="004B4D89"/>
    <w:rsid w:val="004B516E"/>
    <w:rsid w:val="004C0E26"/>
    <w:rsid w:val="004C343D"/>
    <w:rsid w:val="004C5277"/>
    <w:rsid w:val="004C6632"/>
    <w:rsid w:val="004D2423"/>
    <w:rsid w:val="004D3884"/>
    <w:rsid w:val="004D5BBA"/>
    <w:rsid w:val="004E0748"/>
    <w:rsid w:val="004E728E"/>
    <w:rsid w:val="004F0AAB"/>
    <w:rsid w:val="004F23F6"/>
    <w:rsid w:val="004F47B7"/>
    <w:rsid w:val="004F743F"/>
    <w:rsid w:val="004F7C1B"/>
    <w:rsid w:val="00500A8F"/>
    <w:rsid w:val="005043E9"/>
    <w:rsid w:val="005060F9"/>
    <w:rsid w:val="005109DD"/>
    <w:rsid w:val="0051106C"/>
    <w:rsid w:val="00512BAE"/>
    <w:rsid w:val="00520C0E"/>
    <w:rsid w:val="00522EAE"/>
    <w:rsid w:val="005250F2"/>
    <w:rsid w:val="00525703"/>
    <w:rsid w:val="005260BE"/>
    <w:rsid w:val="00527573"/>
    <w:rsid w:val="005326B5"/>
    <w:rsid w:val="005339BB"/>
    <w:rsid w:val="00534DE3"/>
    <w:rsid w:val="00535F08"/>
    <w:rsid w:val="00536F45"/>
    <w:rsid w:val="00537EE6"/>
    <w:rsid w:val="005447E3"/>
    <w:rsid w:val="00547E75"/>
    <w:rsid w:val="005509EC"/>
    <w:rsid w:val="00555016"/>
    <w:rsid w:val="00555F58"/>
    <w:rsid w:val="00556212"/>
    <w:rsid w:val="00556766"/>
    <w:rsid w:val="005606AC"/>
    <w:rsid w:val="00562AEC"/>
    <w:rsid w:val="005669D8"/>
    <w:rsid w:val="0057138A"/>
    <w:rsid w:val="00572B6E"/>
    <w:rsid w:val="00572E88"/>
    <w:rsid w:val="005762B0"/>
    <w:rsid w:val="00584716"/>
    <w:rsid w:val="005849E3"/>
    <w:rsid w:val="00584E4F"/>
    <w:rsid w:val="00584E6C"/>
    <w:rsid w:val="005868F6"/>
    <w:rsid w:val="00586D6C"/>
    <w:rsid w:val="0058733F"/>
    <w:rsid w:val="00587D18"/>
    <w:rsid w:val="00593143"/>
    <w:rsid w:val="00594449"/>
    <w:rsid w:val="00596D1A"/>
    <w:rsid w:val="005A31F5"/>
    <w:rsid w:val="005A65C8"/>
    <w:rsid w:val="005B5847"/>
    <w:rsid w:val="005B5D60"/>
    <w:rsid w:val="005B69C2"/>
    <w:rsid w:val="005B7145"/>
    <w:rsid w:val="005C27A1"/>
    <w:rsid w:val="005C3BCA"/>
    <w:rsid w:val="005C67D4"/>
    <w:rsid w:val="005C7CC0"/>
    <w:rsid w:val="005D0683"/>
    <w:rsid w:val="005D0B39"/>
    <w:rsid w:val="005D0C4E"/>
    <w:rsid w:val="005D52B3"/>
    <w:rsid w:val="005D6F09"/>
    <w:rsid w:val="005E035C"/>
    <w:rsid w:val="005E0DD0"/>
    <w:rsid w:val="005E262D"/>
    <w:rsid w:val="005E5A41"/>
    <w:rsid w:val="005E674A"/>
    <w:rsid w:val="005E6E17"/>
    <w:rsid w:val="005F6112"/>
    <w:rsid w:val="00602232"/>
    <w:rsid w:val="00606AA2"/>
    <w:rsid w:val="00606C4F"/>
    <w:rsid w:val="006107DC"/>
    <w:rsid w:val="0061228A"/>
    <w:rsid w:val="00617A76"/>
    <w:rsid w:val="00621ED0"/>
    <w:rsid w:val="00622238"/>
    <w:rsid w:val="00624BB2"/>
    <w:rsid w:val="006316FD"/>
    <w:rsid w:val="0063217A"/>
    <w:rsid w:val="00632329"/>
    <w:rsid w:val="006361BC"/>
    <w:rsid w:val="00636A3C"/>
    <w:rsid w:val="00637AD1"/>
    <w:rsid w:val="00642CD5"/>
    <w:rsid w:val="006452B3"/>
    <w:rsid w:val="00645792"/>
    <w:rsid w:val="006551A7"/>
    <w:rsid w:val="0066295A"/>
    <w:rsid w:val="00663035"/>
    <w:rsid w:val="00664055"/>
    <w:rsid w:val="00664DA0"/>
    <w:rsid w:val="0066678E"/>
    <w:rsid w:val="00666CF9"/>
    <w:rsid w:val="00667457"/>
    <w:rsid w:val="00667A61"/>
    <w:rsid w:val="00670ED6"/>
    <w:rsid w:val="00673E32"/>
    <w:rsid w:val="006740B4"/>
    <w:rsid w:val="00674734"/>
    <w:rsid w:val="0067541F"/>
    <w:rsid w:val="00682E4B"/>
    <w:rsid w:val="00684D38"/>
    <w:rsid w:val="006858D5"/>
    <w:rsid w:val="00687DBB"/>
    <w:rsid w:val="00696B1C"/>
    <w:rsid w:val="0069732D"/>
    <w:rsid w:val="006A2B5F"/>
    <w:rsid w:val="006A32C4"/>
    <w:rsid w:val="006A72B8"/>
    <w:rsid w:val="006B576E"/>
    <w:rsid w:val="006C1F05"/>
    <w:rsid w:val="006C2070"/>
    <w:rsid w:val="006C4426"/>
    <w:rsid w:val="006C70AC"/>
    <w:rsid w:val="006D2C29"/>
    <w:rsid w:val="006D5B15"/>
    <w:rsid w:val="006D5C62"/>
    <w:rsid w:val="006D642C"/>
    <w:rsid w:val="006E3A9C"/>
    <w:rsid w:val="006F038D"/>
    <w:rsid w:val="00700EA9"/>
    <w:rsid w:val="0070255A"/>
    <w:rsid w:val="00705BEF"/>
    <w:rsid w:val="00706179"/>
    <w:rsid w:val="00707185"/>
    <w:rsid w:val="007113DD"/>
    <w:rsid w:val="0071430B"/>
    <w:rsid w:val="00720659"/>
    <w:rsid w:val="0072201D"/>
    <w:rsid w:val="00726E01"/>
    <w:rsid w:val="00733292"/>
    <w:rsid w:val="0073607E"/>
    <w:rsid w:val="00736663"/>
    <w:rsid w:val="007423FD"/>
    <w:rsid w:val="0074285A"/>
    <w:rsid w:val="00755EE3"/>
    <w:rsid w:val="00757990"/>
    <w:rsid w:val="00760C7A"/>
    <w:rsid w:val="007619AD"/>
    <w:rsid w:val="00762330"/>
    <w:rsid w:val="007640E0"/>
    <w:rsid w:val="007642E9"/>
    <w:rsid w:val="007652B1"/>
    <w:rsid w:val="00770616"/>
    <w:rsid w:val="00770E19"/>
    <w:rsid w:val="00772E22"/>
    <w:rsid w:val="0077332B"/>
    <w:rsid w:val="00774257"/>
    <w:rsid w:val="00775505"/>
    <w:rsid w:val="00776AE1"/>
    <w:rsid w:val="00785B98"/>
    <w:rsid w:val="00785C31"/>
    <w:rsid w:val="00793276"/>
    <w:rsid w:val="007A01B4"/>
    <w:rsid w:val="007A03BE"/>
    <w:rsid w:val="007A07E5"/>
    <w:rsid w:val="007A136C"/>
    <w:rsid w:val="007A385D"/>
    <w:rsid w:val="007A3E79"/>
    <w:rsid w:val="007A463F"/>
    <w:rsid w:val="007A4655"/>
    <w:rsid w:val="007A7362"/>
    <w:rsid w:val="007B0667"/>
    <w:rsid w:val="007B5A17"/>
    <w:rsid w:val="007B648A"/>
    <w:rsid w:val="007B7729"/>
    <w:rsid w:val="007C2153"/>
    <w:rsid w:val="007C66DE"/>
    <w:rsid w:val="007D0768"/>
    <w:rsid w:val="007D224F"/>
    <w:rsid w:val="007D62F3"/>
    <w:rsid w:val="007E0C8A"/>
    <w:rsid w:val="007E0E50"/>
    <w:rsid w:val="007E1D53"/>
    <w:rsid w:val="007E3816"/>
    <w:rsid w:val="007E513A"/>
    <w:rsid w:val="007F085E"/>
    <w:rsid w:val="007F50F2"/>
    <w:rsid w:val="007F5700"/>
    <w:rsid w:val="007F62DC"/>
    <w:rsid w:val="007F79E2"/>
    <w:rsid w:val="00802548"/>
    <w:rsid w:val="00802890"/>
    <w:rsid w:val="00802957"/>
    <w:rsid w:val="00802B47"/>
    <w:rsid w:val="008062A9"/>
    <w:rsid w:val="00811B0B"/>
    <w:rsid w:val="00814AA6"/>
    <w:rsid w:val="008153A8"/>
    <w:rsid w:val="008266CD"/>
    <w:rsid w:val="008267EE"/>
    <w:rsid w:val="0083050D"/>
    <w:rsid w:val="00832E9B"/>
    <w:rsid w:val="00837E93"/>
    <w:rsid w:val="00842F11"/>
    <w:rsid w:val="008432ED"/>
    <w:rsid w:val="00843F7D"/>
    <w:rsid w:val="008450F3"/>
    <w:rsid w:val="00847D03"/>
    <w:rsid w:val="00853BF3"/>
    <w:rsid w:val="00855260"/>
    <w:rsid w:val="00860271"/>
    <w:rsid w:val="0086227D"/>
    <w:rsid w:val="00863FEE"/>
    <w:rsid w:val="008653E0"/>
    <w:rsid w:val="008730BB"/>
    <w:rsid w:val="00880B5C"/>
    <w:rsid w:val="00881CA9"/>
    <w:rsid w:val="00883821"/>
    <w:rsid w:val="0088500C"/>
    <w:rsid w:val="0088679A"/>
    <w:rsid w:val="00887B03"/>
    <w:rsid w:val="0089014A"/>
    <w:rsid w:val="008902CF"/>
    <w:rsid w:val="008966E9"/>
    <w:rsid w:val="008B188A"/>
    <w:rsid w:val="008B318A"/>
    <w:rsid w:val="008B4A3B"/>
    <w:rsid w:val="008B56E5"/>
    <w:rsid w:val="008B6065"/>
    <w:rsid w:val="008C1F77"/>
    <w:rsid w:val="008D1223"/>
    <w:rsid w:val="008D3CFE"/>
    <w:rsid w:val="008D5E6C"/>
    <w:rsid w:val="008D7F16"/>
    <w:rsid w:val="008E08E2"/>
    <w:rsid w:val="008E160B"/>
    <w:rsid w:val="008E4534"/>
    <w:rsid w:val="008E54DB"/>
    <w:rsid w:val="008F1045"/>
    <w:rsid w:val="009018E4"/>
    <w:rsid w:val="00903BED"/>
    <w:rsid w:val="00905613"/>
    <w:rsid w:val="00905BF1"/>
    <w:rsid w:val="009111B0"/>
    <w:rsid w:val="00913572"/>
    <w:rsid w:val="00915EF9"/>
    <w:rsid w:val="009171E7"/>
    <w:rsid w:val="00917A3B"/>
    <w:rsid w:val="0092087F"/>
    <w:rsid w:val="0092377F"/>
    <w:rsid w:val="009308D8"/>
    <w:rsid w:val="00930DF7"/>
    <w:rsid w:val="00936821"/>
    <w:rsid w:val="00936E5D"/>
    <w:rsid w:val="0094276A"/>
    <w:rsid w:val="00942C75"/>
    <w:rsid w:val="00951195"/>
    <w:rsid w:val="00952045"/>
    <w:rsid w:val="00952BA5"/>
    <w:rsid w:val="009554FB"/>
    <w:rsid w:val="00957EEC"/>
    <w:rsid w:val="00963696"/>
    <w:rsid w:val="009642E6"/>
    <w:rsid w:val="009645E2"/>
    <w:rsid w:val="00965CCC"/>
    <w:rsid w:val="00967FB0"/>
    <w:rsid w:val="00972BCD"/>
    <w:rsid w:val="0097304E"/>
    <w:rsid w:val="0097647D"/>
    <w:rsid w:val="00976B70"/>
    <w:rsid w:val="00983752"/>
    <w:rsid w:val="00983EF6"/>
    <w:rsid w:val="00987939"/>
    <w:rsid w:val="009927BE"/>
    <w:rsid w:val="00994EDE"/>
    <w:rsid w:val="009959F3"/>
    <w:rsid w:val="00995FFE"/>
    <w:rsid w:val="009A11C1"/>
    <w:rsid w:val="009A27F7"/>
    <w:rsid w:val="009A292D"/>
    <w:rsid w:val="009A4CAF"/>
    <w:rsid w:val="009A69B5"/>
    <w:rsid w:val="009B0A5E"/>
    <w:rsid w:val="009B0D73"/>
    <w:rsid w:val="009B3167"/>
    <w:rsid w:val="009B34FA"/>
    <w:rsid w:val="009C020C"/>
    <w:rsid w:val="009C44ED"/>
    <w:rsid w:val="009C4F0D"/>
    <w:rsid w:val="009C5700"/>
    <w:rsid w:val="009C5D67"/>
    <w:rsid w:val="009C5FEE"/>
    <w:rsid w:val="009C6763"/>
    <w:rsid w:val="009C692C"/>
    <w:rsid w:val="009C698C"/>
    <w:rsid w:val="009C7A2D"/>
    <w:rsid w:val="009C7CE4"/>
    <w:rsid w:val="009D72F9"/>
    <w:rsid w:val="009E18AF"/>
    <w:rsid w:val="009E4A3B"/>
    <w:rsid w:val="009E5D88"/>
    <w:rsid w:val="009F0653"/>
    <w:rsid w:val="009F09C7"/>
    <w:rsid w:val="009F7FCB"/>
    <w:rsid w:val="00A00B17"/>
    <w:rsid w:val="00A01303"/>
    <w:rsid w:val="00A01568"/>
    <w:rsid w:val="00A1042E"/>
    <w:rsid w:val="00A12A0A"/>
    <w:rsid w:val="00A1794D"/>
    <w:rsid w:val="00A207E1"/>
    <w:rsid w:val="00A220C6"/>
    <w:rsid w:val="00A2358C"/>
    <w:rsid w:val="00A2663A"/>
    <w:rsid w:val="00A31C85"/>
    <w:rsid w:val="00A32C2E"/>
    <w:rsid w:val="00A33A9E"/>
    <w:rsid w:val="00A45DC2"/>
    <w:rsid w:val="00A5260B"/>
    <w:rsid w:val="00A61F62"/>
    <w:rsid w:val="00A623DF"/>
    <w:rsid w:val="00A62D1A"/>
    <w:rsid w:val="00A67B5E"/>
    <w:rsid w:val="00A72E16"/>
    <w:rsid w:val="00A73593"/>
    <w:rsid w:val="00A76003"/>
    <w:rsid w:val="00A76D78"/>
    <w:rsid w:val="00A83140"/>
    <w:rsid w:val="00A843DA"/>
    <w:rsid w:val="00A84830"/>
    <w:rsid w:val="00A91208"/>
    <w:rsid w:val="00A95E62"/>
    <w:rsid w:val="00A96197"/>
    <w:rsid w:val="00AA2334"/>
    <w:rsid w:val="00AA4DC4"/>
    <w:rsid w:val="00AB05C6"/>
    <w:rsid w:val="00AB3244"/>
    <w:rsid w:val="00AB66D7"/>
    <w:rsid w:val="00AB694F"/>
    <w:rsid w:val="00AC32C6"/>
    <w:rsid w:val="00AD7BA1"/>
    <w:rsid w:val="00AE1270"/>
    <w:rsid w:val="00AE6836"/>
    <w:rsid w:val="00AF1933"/>
    <w:rsid w:val="00AF5247"/>
    <w:rsid w:val="00AF78C6"/>
    <w:rsid w:val="00AF7CB4"/>
    <w:rsid w:val="00B00961"/>
    <w:rsid w:val="00B01ADE"/>
    <w:rsid w:val="00B06BA6"/>
    <w:rsid w:val="00B12237"/>
    <w:rsid w:val="00B12F3C"/>
    <w:rsid w:val="00B133E0"/>
    <w:rsid w:val="00B14D59"/>
    <w:rsid w:val="00B22EB0"/>
    <w:rsid w:val="00B24FF7"/>
    <w:rsid w:val="00B2543C"/>
    <w:rsid w:val="00B26192"/>
    <w:rsid w:val="00B262CD"/>
    <w:rsid w:val="00B316D1"/>
    <w:rsid w:val="00B33B11"/>
    <w:rsid w:val="00B33C5E"/>
    <w:rsid w:val="00B40A66"/>
    <w:rsid w:val="00B41090"/>
    <w:rsid w:val="00B50CF4"/>
    <w:rsid w:val="00B57332"/>
    <w:rsid w:val="00B57B39"/>
    <w:rsid w:val="00B60E9C"/>
    <w:rsid w:val="00B63061"/>
    <w:rsid w:val="00B64F29"/>
    <w:rsid w:val="00B6632A"/>
    <w:rsid w:val="00B67C18"/>
    <w:rsid w:val="00B71C49"/>
    <w:rsid w:val="00B74F9C"/>
    <w:rsid w:val="00B769E3"/>
    <w:rsid w:val="00B801E0"/>
    <w:rsid w:val="00B80489"/>
    <w:rsid w:val="00B83422"/>
    <w:rsid w:val="00B841C1"/>
    <w:rsid w:val="00B8765A"/>
    <w:rsid w:val="00B93805"/>
    <w:rsid w:val="00B955B3"/>
    <w:rsid w:val="00B97A73"/>
    <w:rsid w:val="00BA15F6"/>
    <w:rsid w:val="00BB0CAA"/>
    <w:rsid w:val="00BB11A8"/>
    <w:rsid w:val="00BB2026"/>
    <w:rsid w:val="00BC1BD9"/>
    <w:rsid w:val="00BC2BC9"/>
    <w:rsid w:val="00BC3B43"/>
    <w:rsid w:val="00BC52DF"/>
    <w:rsid w:val="00BC5535"/>
    <w:rsid w:val="00BD0BB7"/>
    <w:rsid w:val="00BD1289"/>
    <w:rsid w:val="00BD6A1A"/>
    <w:rsid w:val="00BE02A7"/>
    <w:rsid w:val="00BE2788"/>
    <w:rsid w:val="00BE6F4C"/>
    <w:rsid w:val="00BE7E70"/>
    <w:rsid w:val="00BF460C"/>
    <w:rsid w:val="00BF5F9C"/>
    <w:rsid w:val="00BF64D4"/>
    <w:rsid w:val="00C02F99"/>
    <w:rsid w:val="00C03770"/>
    <w:rsid w:val="00C05D8E"/>
    <w:rsid w:val="00C06B20"/>
    <w:rsid w:val="00C06CBE"/>
    <w:rsid w:val="00C123C3"/>
    <w:rsid w:val="00C126DF"/>
    <w:rsid w:val="00C15DBB"/>
    <w:rsid w:val="00C22473"/>
    <w:rsid w:val="00C25076"/>
    <w:rsid w:val="00C277CB"/>
    <w:rsid w:val="00C369C9"/>
    <w:rsid w:val="00C444EA"/>
    <w:rsid w:val="00C50DF8"/>
    <w:rsid w:val="00C5114A"/>
    <w:rsid w:val="00C55BB5"/>
    <w:rsid w:val="00C64953"/>
    <w:rsid w:val="00C745E3"/>
    <w:rsid w:val="00C75C2E"/>
    <w:rsid w:val="00C766EF"/>
    <w:rsid w:val="00C773FC"/>
    <w:rsid w:val="00C807AA"/>
    <w:rsid w:val="00C80EE6"/>
    <w:rsid w:val="00C817A7"/>
    <w:rsid w:val="00C861B2"/>
    <w:rsid w:val="00C86975"/>
    <w:rsid w:val="00C928D1"/>
    <w:rsid w:val="00CA2A8B"/>
    <w:rsid w:val="00CA65E9"/>
    <w:rsid w:val="00CB4339"/>
    <w:rsid w:val="00CB49F9"/>
    <w:rsid w:val="00CB6A55"/>
    <w:rsid w:val="00CC06D4"/>
    <w:rsid w:val="00CC1890"/>
    <w:rsid w:val="00CC33CC"/>
    <w:rsid w:val="00CC480B"/>
    <w:rsid w:val="00CC72C5"/>
    <w:rsid w:val="00CC7310"/>
    <w:rsid w:val="00CD0119"/>
    <w:rsid w:val="00CD332E"/>
    <w:rsid w:val="00CD41C2"/>
    <w:rsid w:val="00CD521B"/>
    <w:rsid w:val="00CE06FC"/>
    <w:rsid w:val="00CE4335"/>
    <w:rsid w:val="00CE665F"/>
    <w:rsid w:val="00CF197E"/>
    <w:rsid w:val="00CF5040"/>
    <w:rsid w:val="00D0229F"/>
    <w:rsid w:val="00D03331"/>
    <w:rsid w:val="00D073EA"/>
    <w:rsid w:val="00D11827"/>
    <w:rsid w:val="00D12776"/>
    <w:rsid w:val="00D12D35"/>
    <w:rsid w:val="00D17DB4"/>
    <w:rsid w:val="00D2092D"/>
    <w:rsid w:val="00D2143C"/>
    <w:rsid w:val="00D31AFE"/>
    <w:rsid w:val="00D332D6"/>
    <w:rsid w:val="00D346FC"/>
    <w:rsid w:val="00D35444"/>
    <w:rsid w:val="00D3691D"/>
    <w:rsid w:val="00D371C4"/>
    <w:rsid w:val="00D41ADE"/>
    <w:rsid w:val="00D471D1"/>
    <w:rsid w:val="00D47EF2"/>
    <w:rsid w:val="00D50E81"/>
    <w:rsid w:val="00D560EF"/>
    <w:rsid w:val="00D56A55"/>
    <w:rsid w:val="00D60EC2"/>
    <w:rsid w:val="00D634D8"/>
    <w:rsid w:val="00D63C2D"/>
    <w:rsid w:val="00D651FF"/>
    <w:rsid w:val="00D65A32"/>
    <w:rsid w:val="00D71DEB"/>
    <w:rsid w:val="00D73882"/>
    <w:rsid w:val="00D80609"/>
    <w:rsid w:val="00D82BB6"/>
    <w:rsid w:val="00D83EBA"/>
    <w:rsid w:val="00D83F19"/>
    <w:rsid w:val="00D8505B"/>
    <w:rsid w:val="00D96CBF"/>
    <w:rsid w:val="00DA100A"/>
    <w:rsid w:val="00DA25AD"/>
    <w:rsid w:val="00DA73E5"/>
    <w:rsid w:val="00DB0090"/>
    <w:rsid w:val="00DB1679"/>
    <w:rsid w:val="00DB2768"/>
    <w:rsid w:val="00DC2F1C"/>
    <w:rsid w:val="00DC2F84"/>
    <w:rsid w:val="00DC4BA2"/>
    <w:rsid w:val="00DD4C8D"/>
    <w:rsid w:val="00DD6134"/>
    <w:rsid w:val="00DD7975"/>
    <w:rsid w:val="00DD7FB4"/>
    <w:rsid w:val="00DE477C"/>
    <w:rsid w:val="00DE7CB6"/>
    <w:rsid w:val="00DF1C7E"/>
    <w:rsid w:val="00DF269B"/>
    <w:rsid w:val="00DF4AB0"/>
    <w:rsid w:val="00DF66EE"/>
    <w:rsid w:val="00DF6776"/>
    <w:rsid w:val="00E00245"/>
    <w:rsid w:val="00E00371"/>
    <w:rsid w:val="00E0694A"/>
    <w:rsid w:val="00E07A31"/>
    <w:rsid w:val="00E17346"/>
    <w:rsid w:val="00E21BE2"/>
    <w:rsid w:val="00E22994"/>
    <w:rsid w:val="00E23047"/>
    <w:rsid w:val="00E23270"/>
    <w:rsid w:val="00E309FD"/>
    <w:rsid w:val="00E403D4"/>
    <w:rsid w:val="00E403F2"/>
    <w:rsid w:val="00E40561"/>
    <w:rsid w:val="00E414F9"/>
    <w:rsid w:val="00E50150"/>
    <w:rsid w:val="00E5049F"/>
    <w:rsid w:val="00E504D8"/>
    <w:rsid w:val="00E57529"/>
    <w:rsid w:val="00E61308"/>
    <w:rsid w:val="00E61E70"/>
    <w:rsid w:val="00E632DC"/>
    <w:rsid w:val="00E64653"/>
    <w:rsid w:val="00E64D3E"/>
    <w:rsid w:val="00E67E38"/>
    <w:rsid w:val="00E76995"/>
    <w:rsid w:val="00E80E43"/>
    <w:rsid w:val="00E8311C"/>
    <w:rsid w:val="00E879A7"/>
    <w:rsid w:val="00E87A04"/>
    <w:rsid w:val="00E922B4"/>
    <w:rsid w:val="00E92489"/>
    <w:rsid w:val="00E94534"/>
    <w:rsid w:val="00E97970"/>
    <w:rsid w:val="00EA4003"/>
    <w:rsid w:val="00EB0151"/>
    <w:rsid w:val="00EB2B49"/>
    <w:rsid w:val="00EB5B3E"/>
    <w:rsid w:val="00EB7ED2"/>
    <w:rsid w:val="00EC43C8"/>
    <w:rsid w:val="00EC50AC"/>
    <w:rsid w:val="00ED1806"/>
    <w:rsid w:val="00ED205C"/>
    <w:rsid w:val="00ED36BD"/>
    <w:rsid w:val="00ED3F02"/>
    <w:rsid w:val="00ED457C"/>
    <w:rsid w:val="00ED68A8"/>
    <w:rsid w:val="00EE0709"/>
    <w:rsid w:val="00EE0B92"/>
    <w:rsid w:val="00EE0F0E"/>
    <w:rsid w:val="00EE12C8"/>
    <w:rsid w:val="00EE2860"/>
    <w:rsid w:val="00EE68D2"/>
    <w:rsid w:val="00EF14B7"/>
    <w:rsid w:val="00EF3F0F"/>
    <w:rsid w:val="00EF44AD"/>
    <w:rsid w:val="00F014F8"/>
    <w:rsid w:val="00F13937"/>
    <w:rsid w:val="00F13F80"/>
    <w:rsid w:val="00F17267"/>
    <w:rsid w:val="00F22886"/>
    <w:rsid w:val="00F23E15"/>
    <w:rsid w:val="00F27587"/>
    <w:rsid w:val="00F307F9"/>
    <w:rsid w:val="00F3131F"/>
    <w:rsid w:val="00F32538"/>
    <w:rsid w:val="00F34A00"/>
    <w:rsid w:val="00F34D93"/>
    <w:rsid w:val="00F4320A"/>
    <w:rsid w:val="00F4389F"/>
    <w:rsid w:val="00F5335F"/>
    <w:rsid w:val="00F62AEB"/>
    <w:rsid w:val="00F66A6D"/>
    <w:rsid w:val="00F707BD"/>
    <w:rsid w:val="00F72010"/>
    <w:rsid w:val="00F7477C"/>
    <w:rsid w:val="00F76428"/>
    <w:rsid w:val="00F77798"/>
    <w:rsid w:val="00F77B4D"/>
    <w:rsid w:val="00F820F7"/>
    <w:rsid w:val="00F83A44"/>
    <w:rsid w:val="00F85C22"/>
    <w:rsid w:val="00F86B12"/>
    <w:rsid w:val="00F87AC6"/>
    <w:rsid w:val="00F9085A"/>
    <w:rsid w:val="00F91B05"/>
    <w:rsid w:val="00F94E53"/>
    <w:rsid w:val="00F979AC"/>
    <w:rsid w:val="00FA6353"/>
    <w:rsid w:val="00FB32DE"/>
    <w:rsid w:val="00FB3ADA"/>
    <w:rsid w:val="00FB7A50"/>
    <w:rsid w:val="00FC0DF5"/>
    <w:rsid w:val="00FC44B5"/>
    <w:rsid w:val="00FC6127"/>
    <w:rsid w:val="00FC6BCE"/>
    <w:rsid w:val="00FC7A4D"/>
    <w:rsid w:val="00FD08A0"/>
    <w:rsid w:val="00FD1F63"/>
    <w:rsid w:val="00FD2E42"/>
    <w:rsid w:val="00FD4AA6"/>
    <w:rsid w:val="00FE2B9E"/>
    <w:rsid w:val="00FE5708"/>
    <w:rsid w:val="00FE6123"/>
    <w:rsid w:val="00FE6555"/>
    <w:rsid w:val="00FE6E03"/>
    <w:rsid w:val="00FF51E1"/>
    <w:rsid w:val="00FF5862"/>
    <w:rsid w:val="60F76437"/>
    <w:rsid w:val="685F7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20"/>
    <w:qFormat/>
    <w:uiPriority w:val="0"/>
    <w:pPr>
      <w:jc w:val="left"/>
    </w:pPr>
  </w:style>
  <w:style w:type="paragraph" w:styleId="4">
    <w:name w:val="Body Text Indent"/>
    <w:basedOn w:val="1"/>
    <w:uiPriority w:val="0"/>
    <w:pPr>
      <w:widowControl/>
      <w:spacing w:before="100" w:beforeAutospacing="1" w:after="100" w:afterAutospacing="1"/>
      <w:jc w:val="left"/>
    </w:pPr>
    <w:rPr>
      <w:rFonts w:ascii="宋体" w:hAnsi="宋体" w:cs="宋体"/>
      <w:kern w:val="0"/>
      <w:sz w:val="24"/>
    </w:rPr>
  </w:style>
  <w:style w:type="paragraph" w:styleId="5">
    <w:name w:val="Body Text Indent 2"/>
    <w:basedOn w:val="1"/>
    <w:uiPriority w:val="0"/>
    <w:pPr>
      <w:widowControl/>
      <w:spacing w:before="100" w:beforeAutospacing="1" w:after="100" w:afterAutospacing="1"/>
      <w:jc w:val="left"/>
    </w:pPr>
    <w:rPr>
      <w:rFonts w:ascii="宋体" w:hAnsi="宋体" w:cs="宋体"/>
      <w:kern w:val="0"/>
      <w:sz w:val="24"/>
    </w:rPr>
  </w:style>
  <w:style w:type="paragraph" w:styleId="6">
    <w:name w:val="Balloon Text"/>
    <w:basedOn w:val="1"/>
    <w:semiHidden/>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1"/>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Strong"/>
    <w:qFormat/>
    <w:uiPriority w:val="0"/>
    <w:rPr>
      <w:b/>
      <w:bCs/>
    </w:rPr>
  </w:style>
  <w:style w:type="character" w:styleId="14">
    <w:name w:val="Hyperlink"/>
    <w:uiPriority w:val="0"/>
    <w:rPr>
      <w:color w:val="0068B7"/>
      <w:u w:val="none"/>
    </w:rPr>
  </w:style>
  <w:style w:type="character" w:styleId="15">
    <w:name w:val="annotation reference"/>
    <w:basedOn w:val="12"/>
    <w:qFormat/>
    <w:uiPriority w:val="0"/>
    <w:rPr>
      <w:sz w:val="21"/>
      <w:szCs w:val="21"/>
    </w:rPr>
  </w:style>
  <w:style w:type="character" w:customStyle="1" w:styleId="16">
    <w:name w:val="141"/>
    <w:qFormat/>
    <w:uiPriority w:val="0"/>
    <w:rPr>
      <w:sz w:val="21"/>
      <w:szCs w:val="21"/>
    </w:rPr>
  </w:style>
  <w:style w:type="character" w:customStyle="1" w:styleId="17">
    <w:name w:val="ztag pre"/>
    <w:basedOn w:val="12"/>
    <w:uiPriority w:val="0"/>
  </w:style>
  <w:style w:type="character" w:customStyle="1" w:styleId="18">
    <w:name w:val="已访问的超链接1"/>
    <w:qFormat/>
    <w:uiPriority w:val="0"/>
    <w:rPr>
      <w:color w:val="800080"/>
      <w:u w:val="single"/>
    </w:rPr>
  </w:style>
  <w:style w:type="paragraph" w:styleId="19">
    <w:name w:val="List Paragraph"/>
    <w:basedOn w:val="1"/>
    <w:qFormat/>
    <w:uiPriority w:val="34"/>
    <w:pPr>
      <w:ind w:firstLine="420" w:firstLineChars="200"/>
    </w:pPr>
  </w:style>
  <w:style w:type="character" w:customStyle="1" w:styleId="20">
    <w:name w:val="批注文字 字符"/>
    <w:basedOn w:val="12"/>
    <w:link w:val="3"/>
    <w:qFormat/>
    <w:uiPriority w:val="0"/>
    <w:rPr>
      <w:kern w:val="2"/>
      <w:sz w:val="21"/>
      <w:szCs w:val="24"/>
    </w:rPr>
  </w:style>
  <w:style w:type="character" w:customStyle="1" w:styleId="21">
    <w:name w:val="批注主题 字符"/>
    <w:basedOn w:val="20"/>
    <w:link w:val="9"/>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B0347F-2F31-4B11-A1FD-8B3CA6939AC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420</Words>
  <Characters>2399</Characters>
  <Lines>19</Lines>
  <Paragraphs>5</Paragraphs>
  <TotalTime>524</TotalTime>
  <ScaleCrop>false</ScaleCrop>
  <LinksUpToDate>false</LinksUpToDate>
  <CharactersWithSpaces>2814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2017-10-09T07:19:00Z</dcterms:created>
  <dc:creator>全美国际教育协会</dc:creator>
  <cp:lastModifiedBy>Linda</cp:lastModifiedBy>
  <cp:lastPrinted>2011-12-16T08:54:00Z</cp:lastPrinted>
  <dcterms:modified xsi:type="dcterms:W3CDTF">2019-08-21T11:51:13Z</dcterms:modified>
  <dc:title>加州大学河滨分校短期访学项目</dc:title>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