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right"/>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drawing>
          <wp:inline distT="0" distB="0" distL="0" distR="0">
            <wp:extent cx="857250" cy="29972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2585" cy="301511"/>
                    </a:xfrm>
                    <a:prstGeom prst="rect">
                      <a:avLst/>
                    </a:prstGeom>
                  </pic:spPr>
                </pic:pic>
              </a:graphicData>
            </a:graphic>
          </wp:inline>
        </w:drawing>
      </w:r>
    </w:p>
    <w:p>
      <w:pPr>
        <w:widowControl/>
        <w:spacing w:line="360" w:lineRule="auto"/>
        <w:jc w:val="center"/>
        <w:rPr>
          <w:rFonts w:asciiTheme="minorHAnsi" w:hAnsiTheme="minorHAnsi" w:eastAsiaTheme="majorEastAsia" w:cstheme="minorHAnsi"/>
          <w:b/>
          <w:kern w:val="0"/>
          <w:sz w:val="32"/>
          <w:szCs w:val="21"/>
        </w:rPr>
      </w:pPr>
    </w:p>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 xml:space="preserve">澳大利亚昆士兰大学 </w:t>
      </w:r>
    </w:p>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2020冬季访学</w:t>
      </w:r>
      <w:r>
        <w:rPr>
          <w:rFonts w:asciiTheme="minorHAnsi" w:hAnsiTheme="minorHAnsi" w:eastAsiaTheme="majorEastAsia" w:cstheme="minorHAnsi"/>
          <w:b/>
          <w:kern w:val="0"/>
          <w:sz w:val="32"/>
          <w:szCs w:val="21"/>
        </w:rPr>
        <w:t>项目</w:t>
      </w:r>
    </w:p>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语言文化课程</w:t>
      </w:r>
    </w:p>
    <w:p>
      <w:pPr>
        <w:widowControl/>
        <w:spacing w:line="360" w:lineRule="auto"/>
        <w:jc w:val="center"/>
        <w:rPr>
          <w:rFonts w:asciiTheme="minorHAnsi" w:hAnsiTheme="minorHAnsi" w:eastAsiaTheme="majorEastAsia" w:cstheme="minorHAnsi"/>
          <w:sz w:val="28"/>
          <w:szCs w:val="28"/>
        </w:rPr>
      </w:pPr>
      <w:r>
        <w:rPr>
          <w:rFonts w:hint="eastAsia" w:asciiTheme="minorHAnsi" w:hAnsiTheme="minorHAnsi" w:eastAsiaTheme="majorEastAsia" w:cstheme="minorHAnsi"/>
          <w:sz w:val="28"/>
          <w:szCs w:val="28"/>
        </w:rPr>
        <w:t>University of Queensland</w:t>
      </w:r>
    </w:p>
    <w:p>
      <w:pPr>
        <w:widowControl/>
        <w:spacing w:line="360" w:lineRule="auto"/>
        <w:jc w:val="center"/>
        <w:rPr>
          <w:rFonts w:asciiTheme="minorHAnsi" w:hAnsiTheme="minorHAnsi" w:eastAsiaTheme="majorEastAsia" w:cstheme="minorHAnsi"/>
          <w:b/>
          <w:kern w:val="0"/>
          <w:sz w:val="30"/>
          <w:szCs w:val="30"/>
        </w:rPr>
      </w:pPr>
      <w:r>
        <w:rPr>
          <w:rFonts w:asciiTheme="minorHAnsi" w:hAnsiTheme="minorHAnsi" w:eastAsiaTheme="majorEastAsia" w:cstheme="minorHAnsi"/>
          <w:b/>
          <w:sz w:val="30"/>
          <w:szCs w:val="30"/>
        </w:rPr>
        <w:t>E</w:t>
      </w:r>
      <w:r>
        <w:rPr>
          <w:rFonts w:hint="eastAsia" w:asciiTheme="minorHAnsi" w:hAnsiTheme="minorHAnsi" w:eastAsiaTheme="majorEastAsia" w:cstheme="minorHAnsi"/>
          <w:b/>
          <w:sz w:val="30"/>
          <w:szCs w:val="30"/>
        </w:rPr>
        <w:t>n</w:t>
      </w:r>
      <w:r>
        <w:rPr>
          <w:rFonts w:asciiTheme="minorHAnsi" w:hAnsiTheme="minorHAnsi" w:eastAsiaTheme="majorEastAsia" w:cstheme="minorHAnsi"/>
          <w:b/>
          <w:sz w:val="30"/>
          <w:szCs w:val="30"/>
        </w:rPr>
        <w:t xml:space="preserve">glish </w:t>
      </w:r>
      <w:r>
        <w:rPr>
          <w:rFonts w:hint="eastAsia" w:asciiTheme="minorHAnsi" w:hAnsiTheme="minorHAnsi" w:eastAsiaTheme="majorEastAsia" w:cstheme="minorHAnsi"/>
          <w:b/>
          <w:sz w:val="30"/>
          <w:szCs w:val="30"/>
        </w:rPr>
        <w:t xml:space="preserve">Language </w:t>
      </w:r>
      <w:r>
        <w:rPr>
          <w:rFonts w:asciiTheme="minorHAnsi" w:hAnsiTheme="minorHAnsi" w:eastAsiaTheme="majorEastAsia" w:cstheme="minorHAnsi"/>
          <w:b/>
          <w:sz w:val="30"/>
          <w:szCs w:val="30"/>
        </w:rPr>
        <w:t>Program</w:t>
      </w:r>
      <w:r>
        <w:rPr>
          <w:rFonts w:hint="eastAsia" w:asciiTheme="minorHAnsi" w:hAnsiTheme="minorHAnsi" w:eastAsiaTheme="majorEastAsia" w:cstheme="minorHAnsi"/>
          <w:b/>
          <w:sz w:val="30"/>
          <w:szCs w:val="30"/>
        </w:rPr>
        <w:t>s</w:t>
      </w:r>
    </w:p>
    <w:p>
      <w:pPr>
        <w:widowControl/>
        <w:spacing w:line="360" w:lineRule="auto"/>
        <w:jc w:val="center"/>
        <w:rPr>
          <w:rFonts w:asciiTheme="minorHAnsi" w:hAnsiTheme="minorHAnsi" w:eastAsiaTheme="majorEastAsia" w:cstheme="minorHAnsi"/>
          <w:b/>
          <w:kern w:val="0"/>
          <w:szCs w:val="21"/>
        </w:rPr>
      </w:pPr>
      <w:r>
        <w:rPr>
          <w:rFonts w:cs="Calibri" w:asciiTheme="minorHAnsi" w:hAnsiTheme="minorHAnsi"/>
          <w:b/>
          <w:kern w:val="0"/>
          <w:szCs w:val="21"/>
        </w:rPr>
        <w:t>20</w:t>
      </w:r>
      <w:r>
        <w:rPr>
          <w:rFonts w:hint="eastAsia" w:cs="Calibri" w:asciiTheme="minorHAnsi" w:hAnsiTheme="minorHAnsi"/>
          <w:b/>
          <w:kern w:val="0"/>
          <w:szCs w:val="21"/>
        </w:rPr>
        <w:t>20</w:t>
      </w:r>
      <w:r>
        <w:rPr>
          <w:rFonts w:cs="Calibri" w:asciiTheme="minorHAnsi" w:hAnsiTheme="minorHAnsi"/>
          <w:b/>
          <w:kern w:val="0"/>
          <w:szCs w:val="21"/>
        </w:rPr>
        <w:t>年</w:t>
      </w:r>
      <w:r>
        <w:rPr>
          <w:rFonts w:hint="eastAsia" w:cs="Calibri" w:asciiTheme="minorHAnsi" w:hAnsiTheme="minorHAnsi"/>
          <w:b/>
          <w:kern w:val="0"/>
          <w:szCs w:val="21"/>
        </w:rPr>
        <w:t xml:space="preserve">1月6日 </w:t>
      </w:r>
      <w:r>
        <w:rPr>
          <w:rFonts w:cs="Calibri" w:asciiTheme="minorHAnsi" w:hAnsiTheme="minorHAnsi"/>
          <w:b/>
          <w:kern w:val="0"/>
          <w:szCs w:val="21"/>
        </w:rPr>
        <w:t xml:space="preserve">– </w:t>
      </w:r>
      <w:r>
        <w:rPr>
          <w:rFonts w:hint="eastAsia" w:cs="Calibri" w:asciiTheme="minorHAnsi" w:hAnsiTheme="minorHAnsi"/>
          <w:b/>
          <w:kern w:val="0"/>
          <w:szCs w:val="21"/>
        </w:rPr>
        <w:t>2月7日</w:t>
      </w:r>
    </w:p>
    <w:p>
      <w:pPr>
        <w:widowControl/>
        <w:spacing w:line="360" w:lineRule="auto"/>
        <w:jc w:val="left"/>
        <w:rPr>
          <w:rFonts w:asciiTheme="minorHAnsi" w:hAnsiTheme="minorHAnsi" w:eastAsiaTheme="majorEastAsia" w:cstheme="minorHAnsi"/>
          <w:kern w:val="0"/>
          <w:szCs w:val="21"/>
        </w:rPr>
      </w:pPr>
    </w:p>
    <w:p>
      <w:pPr>
        <w:widowControl/>
        <w:spacing w:line="360" w:lineRule="auto"/>
        <w:jc w:val="left"/>
        <w:rPr>
          <w:rFonts w:asciiTheme="minorHAnsi" w:hAnsiTheme="minorHAnsi" w:eastAsiaTheme="majorEastAsia" w:cstheme="minorHAnsi"/>
          <w:b/>
          <w:kern w:val="0"/>
          <w:szCs w:val="21"/>
        </w:rPr>
      </w:pPr>
      <w:r>
        <w:rPr>
          <w:rFonts w:hint="eastAsia" w:asciiTheme="minorHAnsi" w:hAnsiTheme="minorHAnsi" w:eastAsiaTheme="majorEastAsia" w:cstheme="minorHAnsi"/>
          <w:b/>
          <w:kern w:val="0"/>
          <w:szCs w:val="21"/>
        </w:rPr>
        <w:t>一、项目综述</w:t>
      </w:r>
    </w:p>
    <w:p>
      <w:pPr>
        <w:widowControl/>
        <w:spacing w:line="360" w:lineRule="auto"/>
        <w:ind w:firstLine="420" w:firstLineChars="200"/>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昆士兰大学的继续教育与对外英语教学学院（Institute of Continuing &amp; TESOL Education）成立于1981年, 具备超过30年的丰富教学经验，屡获澳洲教育培训领域的殊荣，每年为近8,000名来自世界各地的学生提供各类优质的英语学习与培训项目，满足不同的学习需求。</w:t>
      </w:r>
    </w:p>
    <w:p>
      <w:pPr>
        <w:widowControl/>
        <w:spacing w:line="360" w:lineRule="auto"/>
        <w:ind w:firstLine="420" w:firstLineChars="200"/>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参加昆士兰大学2020年冬季访学项目的学生，可以选择参加通用英语（General English）、或国际商务沟通英语（English for International Business Communication）、或学术英语（English for Academic English）。项目学生与昆士兰大学在读语言学生混合编班，由昆士兰大学进行统一的学术管理与学术考核，获得昆士兰大学正式成绩单。</w:t>
      </w:r>
    </w:p>
    <w:p>
      <w:pPr>
        <w:widowControl/>
        <w:spacing w:line="360" w:lineRule="auto"/>
        <w:ind w:firstLine="420" w:firstLineChars="200"/>
        <w:jc w:val="left"/>
        <w:rPr>
          <w:rFonts w:asciiTheme="minorHAnsi" w:hAnsiTheme="minorHAnsi" w:eastAsiaTheme="majorEastAsia" w:cstheme="minorHAnsi"/>
          <w:kern w:val="0"/>
          <w:szCs w:val="21"/>
        </w:rPr>
      </w:pPr>
    </w:p>
    <w:p>
      <w:pPr>
        <w:widowControl/>
        <w:spacing w:line="360" w:lineRule="auto"/>
        <w:ind w:firstLine="420" w:firstLineChars="200"/>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全美国际教育协会作为昆士兰大学在中国的正式授权机构，负责选拔优秀中国大学生，于2020年冬季前往昆士兰大学参加为期5周的语言课程项目。项目学生通过5周的学习，将迅速提升自身的英语水平，同时体验澳大利亚的社会与文化。</w:t>
      </w:r>
    </w:p>
    <w:p>
      <w:pPr>
        <w:widowControl/>
        <w:spacing w:line="360" w:lineRule="auto"/>
        <w:ind w:firstLine="420" w:firstLineChars="200"/>
        <w:jc w:val="left"/>
        <w:rPr>
          <w:rFonts w:asciiTheme="minorHAnsi" w:hAnsiTheme="minorHAnsi"/>
        </w:rPr>
      </w:pPr>
    </w:p>
    <w:p>
      <w:pPr>
        <w:widowControl/>
        <w:spacing w:line="360" w:lineRule="auto"/>
        <w:jc w:val="left"/>
        <w:rPr>
          <w:rFonts w:cs="Calibri" w:asciiTheme="minorHAnsi" w:hAnsiTheme="minorHAnsi"/>
          <w:b/>
          <w:szCs w:val="21"/>
        </w:rPr>
      </w:pPr>
      <w:r>
        <w:rPr>
          <w:rFonts w:hint="eastAsia" w:asciiTheme="minorHAnsi" w:hAnsiTheme="minorHAnsi" w:eastAsiaTheme="majorEastAsia" w:cstheme="minorHAnsi"/>
          <w:b/>
          <w:kern w:val="0"/>
          <w:szCs w:val="21"/>
        </w:rPr>
        <w:t>二、</w:t>
      </w:r>
      <w:r>
        <w:rPr>
          <w:rFonts w:hint="eastAsia" w:cs="Calibri" w:asciiTheme="minorHAnsi" w:hAnsiTheme="minorHAnsi"/>
          <w:b/>
          <w:szCs w:val="21"/>
        </w:rPr>
        <w:t>特色与优势</w:t>
      </w:r>
    </w:p>
    <w:p>
      <w:pPr>
        <w:pStyle w:val="19"/>
        <w:widowControl/>
        <w:numPr>
          <w:ilvl w:val="0"/>
          <w:numId w:val="1"/>
        </w:numPr>
        <w:spacing w:line="360" w:lineRule="auto"/>
        <w:ind w:firstLineChars="0"/>
        <w:jc w:val="left"/>
        <w:rPr>
          <w:rFonts w:cs="Calibri" w:asciiTheme="minorHAnsi" w:hAnsiTheme="minorHAnsi"/>
          <w:szCs w:val="21"/>
        </w:rPr>
      </w:pPr>
      <w:r>
        <w:rPr>
          <w:rFonts w:hint="eastAsia" w:cs="Calibri" w:asciiTheme="minorHAnsi" w:hAnsiTheme="minorHAnsi"/>
          <w:szCs w:val="21"/>
        </w:rPr>
        <w:t>【体验澳洲纯正英语课程】参加澳大利亚名校的优质语言课程，每周20学时强化学习，有效提升语言技巧；</w:t>
      </w:r>
    </w:p>
    <w:p>
      <w:pPr>
        <w:pStyle w:val="19"/>
        <w:widowControl/>
        <w:numPr>
          <w:ilvl w:val="0"/>
          <w:numId w:val="1"/>
        </w:numPr>
        <w:spacing w:line="360" w:lineRule="auto"/>
        <w:ind w:firstLineChars="0"/>
        <w:jc w:val="left"/>
        <w:rPr>
          <w:rFonts w:cs="Calibri" w:asciiTheme="minorHAnsi" w:hAnsiTheme="minorHAnsi"/>
          <w:szCs w:val="21"/>
        </w:rPr>
      </w:pPr>
      <w:r>
        <w:rPr>
          <w:rFonts w:hint="eastAsia" w:cs="Calibri" w:asciiTheme="minorHAnsi" w:hAnsiTheme="minorHAnsi"/>
          <w:szCs w:val="21"/>
        </w:rPr>
        <w:t>【</w:t>
      </w:r>
      <w:r>
        <w:rPr>
          <w:rFonts w:hint="eastAsia" w:asciiTheme="minorHAnsi" w:hAnsiTheme="minorHAnsi" w:eastAsiaTheme="majorEastAsia" w:cstheme="minorHAnsi"/>
          <w:szCs w:val="21"/>
        </w:rPr>
        <w:t>昆士兰</w:t>
      </w:r>
      <w:r>
        <w:rPr>
          <w:rFonts w:hint="eastAsia" w:cs="Calibri" w:asciiTheme="minorHAnsi" w:hAnsiTheme="minorHAnsi"/>
          <w:szCs w:val="21"/>
        </w:rPr>
        <w:t>大学成绩单和项目证书】获得</w:t>
      </w:r>
      <w:r>
        <w:rPr>
          <w:rFonts w:hint="eastAsia" w:asciiTheme="minorHAnsi" w:hAnsiTheme="minorHAnsi" w:eastAsiaTheme="majorEastAsia" w:cstheme="minorHAnsi"/>
          <w:szCs w:val="21"/>
        </w:rPr>
        <w:t>昆士兰</w:t>
      </w:r>
      <w:r>
        <w:rPr>
          <w:rFonts w:hint="eastAsia" w:cs="Calibri" w:asciiTheme="minorHAnsi" w:hAnsiTheme="minorHAnsi" w:eastAsiaTheme="majorEastAsia"/>
          <w:szCs w:val="21"/>
        </w:rPr>
        <w:t>大学</w:t>
      </w:r>
      <w:r>
        <w:rPr>
          <w:rFonts w:hint="eastAsia" w:cs="Calibri" w:asciiTheme="minorHAnsi" w:hAnsiTheme="minorHAnsi"/>
          <w:szCs w:val="21"/>
        </w:rPr>
        <w:t>颁发的成绩单与项目证书，为个人履历添砖加瓦；</w:t>
      </w:r>
    </w:p>
    <w:p>
      <w:pPr>
        <w:pStyle w:val="19"/>
        <w:widowControl/>
        <w:numPr>
          <w:ilvl w:val="0"/>
          <w:numId w:val="1"/>
        </w:numPr>
        <w:spacing w:line="360" w:lineRule="auto"/>
        <w:ind w:firstLineChars="0"/>
        <w:jc w:val="left"/>
        <w:rPr>
          <w:rFonts w:cs="Calibri" w:asciiTheme="minorHAnsi" w:hAnsiTheme="minorHAnsi"/>
          <w:szCs w:val="21"/>
        </w:rPr>
      </w:pPr>
      <w:r>
        <w:rPr>
          <w:rFonts w:hint="eastAsia" w:cs="Calibri" w:asciiTheme="minorHAnsi" w:hAnsiTheme="minorHAnsi"/>
          <w:szCs w:val="21"/>
        </w:rPr>
        <w:t>【和国际学生一起上课，结交各国好友】与来自其它国家的学生共同学习、提高跨文化沟通技能，收获知识与友谊；</w:t>
      </w:r>
    </w:p>
    <w:p>
      <w:pPr>
        <w:pStyle w:val="19"/>
        <w:widowControl/>
        <w:numPr>
          <w:ilvl w:val="0"/>
          <w:numId w:val="1"/>
        </w:numPr>
        <w:spacing w:line="360" w:lineRule="auto"/>
        <w:ind w:firstLineChars="0"/>
        <w:jc w:val="left"/>
        <w:rPr>
          <w:rFonts w:cs="Calibri" w:asciiTheme="minorHAnsi" w:hAnsiTheme="minorHAnsi"/>
          <w:szCs w:val="21"/>
        </w:rPr>
      </w:pPr>
      <w:r>
        <w:rPr>
          <w:rFonts w:hint="eastAsia" w:cs="Calibri" w:asciiTheme="minorHAnsi" w:hAnsiTheme="minorHAnsi"/>
          <w:szCs w:val="21"/>
        </w:rPr>
        <w:t>【尽享校园设施与资源】 获得</w:t>
      </w:r>
      <w:r>
        <w:rPr>
          <w:rFonts w:hint="eastAsia" w:asciiTheme="minorHAnsi" w:hAnsiTheme="minorHAnsi" w:eastAsiaTheme="majorEastAsia" w:cstheme="minorHAnsi"/>
          <w:szCs w:val="21"/>
        </w:rPr>
        <w:t>昆士兰大学</w:t>
      </w:r>
      <w:r>
        <w:rPr>
          <w:rFonts w:hint="eastAsia" w:cs="Calibri" w:asciiTheme="minorHAnsi" w:hAnsiTheme="minorHAnsi"/>
          <w:szCs w:val="21"/>
        </w:rPr>
        <w:t>学生证，</w:t>
      </w:r>
      <w:r>
        <w:rPr>
          <w:rFonts w:hint="eastAsia" w:asciiTheme="minorHAnsi" w:hAnsiTheme="minorHAnsi" w:eastAsiaTheme="majorEastAsia" w:cstheme="minorHAnsi"/>
          <w:szCs w:val="21"/>
        </w:rPr>
        <w:t>按校方规定充分享受各类校园设施与教育资源</w:t>
      </w:r>
      <w:r>
        <w:rPr>
          <w:rFonts w:hint="eastAsia" w:cs="Calibri" w:asciiTheme="minorHAnsi" w:hAnsiTheme="minorHAnsi"/>
          <w:szCs w:val="21"/>
        </w:rPr>
        <w:t>；</w:t>
      </w:r>
    </w:p>
    <w:p>
      <w:pPr>
        <w:pStyle w:val="19"/>
        <w:widowControl/>
        <w:numPr>
          <w:ilvl w:val="0"/>
          <w:numId w:val="1"/>
        </w:numPr>
        <w:spacing w:line="360" w:lineRule="auto"/>
        <w:ind w:firstLineChars="0"/>
        <w:jc w:val="left"/>
        <w:rPr>
          <w:rFonts w:cs="Calibri" w:asciiTheme="minorHAnsi" w:hAnsiTheme="minorHAnsi"/>
          <w:szCs w:val="21"/>
        </w:rPr>
      </w:pPr>
      <w:r>
        <w:rPr>
          <w:rFonts w:hint="eastAsia" w:cs="Calibri" w:asciiTheme="minorHAnsi" w:hAnsiTheme="minorHAnsi"/>
          <w:szCs w:val="21"/>
        </w:rPr>
        <w:t>【丰富的文化活动体验】丰富多彩的澳大利亚文化体验，畅游布里斯班与黄金海岸的特色景点。</w:t>
      </w:r>
    </w:p>
    <w:p>
      <w:pPr>
        <w:widowControl/>
        <w:spacing w:line="360" w:lineRule="auto"/>
        <w:jc w:val="left"/>
        <w:rPr>
          <w:rFonts w:asciiTheme="minorHAnsi" w:hAnsiTheme="minorHAnsi" w:eastAsiaTheme="majorEastAsia" w:cstheme="minorHAnsi"/>
          <w:color w:val="000000"/>
          <w:szCs w:val="21"/>
        </w:rPr>
      </w:pPr>
    </w:p>
    <w:p>
      <w:pPr>
        <w:pStyle w:val="19"/>
        <w:widowControl/>
        <w:numPr>
          <w:ilvl w:val="0"/>
          <w:numId w:val="2"/>
        </w:numPr>
        <w:spacing w:line="360" w:lineRule="auto"/>
        <w:ind w:firstLineChars="0"/>
        <w:jc w:val="left"/>
        <w:rPr>
          <w:rFonts w:asciiTheme="minorHAnsi" w:hAnsiTheme="minorHAnsi" w:eastAsiaTheme="majorEastAsia" w:cstheme="minorHAnsi"/>
          <w:b/>
          <w:bCs/>
          <w:kern w:val="0"/>
          <w:szCs w:val="21"/>
        </w:rPr>
      </w:pPr>
      <w:r>
        <w:rPr>
          <w:rFonts w:hint="eastAsia" w:asciiTheme="minorHAnsi" w:hAnsiTheme="minorHAnsi" w:eastAsiaTheme="majorEastAsia" w:cstheme="minorHAnsi"/>
          <w:b/>
          <w:bCs/>
          <w:kern w:val="0"/>
          <w:szCs w:val="21"/>
        </w:rPr>
        <w:t>昆士兰</w:t>
      </w:r>
      <w:r>
        <w:rPr>
          <w:rFonts w:asciiTheme="minorHAnsi" w:hAnsiTheme="minorHAnsi" w:eastAsiaTheme="majorEastAsia" w:cstheme="minorHAnsi"/>
          <w:b/>
          <w:bCs/>
          <w:kern w:val="0"/>
          <w:szCs w:val="21"/>
        </w:rPr>
        <w:t>大学</w:t>
      </w:r>
      <w:r>
        <w:rPr>
          <w:rFonts w:hint="eastAsia" w:asciiTheme="minorHAnsi" w:hAnsiTheme="minorHAnsi" w:eastAsiaTheme="majorEastAsia" w:cstheme="minorHAnsi"/>
          <w:b/>
          <w:bCs/>
          <w:kern w:val="0"/>
          <w:szCs w:val="21"/>
        </w:rPr>
        <w:t>简介</w:t>
      </w:r>
    </w:p>
    <w:p>
      <w:pPr>
        <w:pStyle w:val="19"/>
        <w:widowControl/>
        <w:numPr>
          <w:ilvl w:val="0"/>
          <w:numId w:val="3"/>
        </w:numPr>
        <w:spacing w:line="360" w:lineRule="auto"/>
        <w:ind w:firstLineChars="0"/>
        <w:jc w:val="left"/>
        <w:rPr>
          <w:rFonts w:cs="Arial" w:asciiTheme="minorHAnsi" w:hAnsiTheme="minorHAnsi"/>
          <w:color w:val="333333"/>
          <w:kern w:val="0"/>
          <w:szCs w:val="21"/>
        </w:rPr>
      </w:pPr>
      <w:r>
        <w:rPr>
          <w:rFonts w:cs="Arial" w:asciiTheme="minorHAnsi" w:hAnsiTheme="minorHAnsi"/>
          <w:color w:val="333333"/>
          <w:kern w:val="0"/>
          <w:szCs w:val="21"/>
        </w:rPr>
        <w:t>创建于1</w:t>
      </w:r>
      <w:r>
        <w:rPr>
          <w:rFonts w:hint="eastAsia" w:cs="Arial" w:asciiTheme="minorHAnsi" w:hAnsiTheme="minorHAnsi"/>
          <w:color w:val="333333"/>
          <w:kern w:val="0"/>
          <w:szCs w:val="21"/>
        </w:rPr>
        <w:t>909</w:t>
      </w:r>
      <w:r>
        <w:rPr>
          <w:rFonts w:cs="Arial" w:asciiTheme="minorHAnsi" w:hAnsiTheme="minorHAnsi"/>
          <w:color w:val="333333"/>
          <w:kern w:val="0"/>
          <w:szCs w:val="21"/>
        </w:rPr>
        <w:t>年，</w:t>
      </w:r>
      <w:r>
        <w:rPr>
          <w:rFonts w:hint="eastAsia" w:cs="Arial" w:asciiTheme="minorHAnsi" w:hAnsiTheme="minorHAnsi"/>
          <w:color w:val="333333"/>
          <w:kern w:val="0"/>
          <w:szCs w:val="21"/>
        </w:rPr>
        <w:t>澳大利亚</w:t>
      </w:r>
      <w:r>
        <w:rPr>
          <w:rFonts w:cs="Arial" w:asciiTheme="minorHAnsi" w:hAnsiTheme="minorHAnsi"/>
          <w:color w:val="333333"/>
          <w:kern w:val="0"/>
          <w:szCs w:val="21"/>
        </w:rPr>
        <w:t>顶尖学府，</w:t>
      </w:r>
      <w:r>
        <w:rPr>
          <w:rFonts w:cs="Arial" w:asciiTheme="minorHAnsi" w:hAnsiTheme="minorHAnsi"/>
          <w:color w:val="333333"/>
          <w:szCs w:val="21"/>
          <w:shd w:val="clear" w:color="auto" w:fill="FFFFFF"/>
        </w:rPr>
        <w:t>澳大利亚菁英大学集团 Group of Eight （八大名校联盟）的成员之一</w:t>
      </w:r>
      <w:r>
        <w:rPr>
          <w:rFonts w:hint="eastAsia" w:ascii="Arial" w:hAnsi="Arial" w:cs="Arial"/>
          <w:color w:val="333333"/>
          <w:kern w:val="0"/>
          <w:szCs w:val="21"/>
        </w:rPr>
        <w:t>；</w:t>
      </w:r>
    </w:p>
    <w:p>
      <w:pPr>
        <w:pStyle w:val="19"/>
        <w:widowControl/>
        <w:numPr>
          <w:ilvl w:val="0"/>
          <w:numId w:val="3"/>
        </w:numPr>
        <w:spacing w:line="360" w:lineRule="auto"/>
        <w:ind w:firstLineChars="0"/>
        <w:jc w:val="left"/>
        <w:rPr>
          <w:rFonts w:cs="Arial" w:asciiTheme="minorHAnsi" w:hAnsiTheme="minorHAnsi"/>
          <w:color w:val="333333"/>
          <w:kern w:val="0"/>
          <w:szCs w:val="21"/>
        </w:rPr>
      </w:pPr>
      <w:r>
        <w:rPr>
          <w:rFonts w:hint="eastAsia" w:cs="Arial" w:asciiTheme="minorHAnsi" w:hAnsiTheme="minorHAnsi"/>
          <w:color w:val="333333"/>
          <w:kern w:val="0"/>
          <w:szCs w:val="21"/>
        </w:rPr>
        <w:t>2019美国新闻与世界报道全球大学综合排名第45；2019 QS世界大学排名第48；2018上海交大世界大学学术排名第55；</w:t>
      </w:r>
    </w:p>
    <w:p>
      <w:pPr>
        <w:pStyle w:val="19"/>
        <w:widowControl/>
        <w:numPr>
          <w:ilvl w:val="0"/>
          <w:numId w:val="3"/>
        </w:numPr>
        <w:spacing w:line="360" w:lineRule="auto"/>
        <w:ind w:firstLineChars="0"/>
        <w:jc w:val="left"/>
        <w:rPr>
          <w:rFonts w:cs="Arial" w:asciiTheme="minorHAnsi" w:hAnsiTheme="minorHAnsi"/>
          <w:color w:val="333333"/>
          <w:kern w:val="0"/>
          <w:szCs w:val="21"/>
        </w:rPr>
      </w:pPr>
      <w:r>
        <w:rPr>
          <w:rFonts w:hint="eastAsia" w:asciiTheme="minorHAnsi" w:hAnsiTheme="minorHAnsi"/>
        </w:rPr>
        <w:t>下设六所学院，拥有八所世界顶级的研究所，学生数量超过5万2千人；教学质量与学术声誉卓著，是荣获教学类奖项最多的澳洲大学；</w:t>
      </w:r>
    </w:p>
    <w:p>
      <w:pPr>
        <w:pStyle w:val="19"/>
        <w:widowControl/>
        <w:numPr>
          <w:ilvl w:val="0"/>
          <w:numId w:val="3"/>
        </w:numPr>
        <w:spacing w:line="360" w:lineRule="auto"/>
        <w:ind w:firstLineChars="0"/>
        <w:jc w:val="left"/>
        <w:rPr>
          <w:rFonts w:cs="Arial" w:asciiTheme="minorHAnsi" w:hAnsiTheme="minorHAnsi"/>
          <w:color w:val="333333"/>
          <w:kern w:val="0"/>
          <w:szCs w:val="21"/>
        </w:rPr>
      </w:pPr>
      <w:r>
        <w:rPr>
          <w:rFonts w:asciiTheme="minorHAnsi" w:hAnsiTheme="minorHAnsi"/>
        </w:rPr>
        <w:t>强势专业包括环境</w:t>
      </w:r>
      <w:r>
        <w:rPr>
          <w:rFonts w:hint="eastAsia" w:asciiTheme="minorHAnsi" w:hAnsiTheme="minorHAnsi"/>
        </w:rPr>
        <w:t>/生态学、</w:t>
      </w:r>
      <w:r>
        <w:rPr>
          <w:rFonts w:asciiTheme="minorHAnsi" w:hAnsiTheme="minorHAnsi"/>
        </w:rPr>
        <w:t>作物与动物科学</w:t>
      </w:r>
      <w:r>
        <w:rPr>
          <w:rFonts w:hint="eastAsia" w:asciiTheme="minorHAnsi" w:hAnsiTheme="minorHAnsi"/>
        </w:rPr>
        <w:t>、农业科学、</w:t>
      </w:r>
      <w:r>
        <w:rPr>
          <w:rFonts w:asciiTheme="minorHAnsi" w:hAnsiTheme="minorHAnsi"/>
        </w:rPr>
        <w:t>社会科学</w:t>
      </w:r>
      <w:r>
        <w:rPr>
          <w:rFonts w:hint="eastAsia" w:asciiTheme="minorHAnsi" w:hAnsiTheme="minorHAnsi"/>
        </w:rPr>
        <w:t>、</w:t>
      </w:r>
      <w:r>
        <w:rPr>
          <w:rFonts w:asciiTheme="minorHAnsi" w:hAnsiTheme="minorHAnsi"/>
        </w:rPr>
        <w:t>生物与生物化学</w:t>
      </w:r>
      <w:r>
        <w:rPr>
          <w:rFonts w:hint="eastAsia" w:asciiTheme="minorHAnsi" w:hAnsiTheme="minorHAnsi"/>
        </w:rPr>
        <w:t>、</w:t>
      </w:r>
      <w:r>
        <w:rPr>
          <w:rFonts w:asciiTheme="minorHAnsi" w:hAnsiTheme="minorHAnsi"/>
        </w:rPr>
        <w:t>经济学与商科等</w:t>
      </w:r>
      <w:r>
        <w:rPr>
          <w:rFonts w:hint="eastAsia" w:cs="Arial" w:asciiTheme="minorHAnsi" w:hAnsiTheme="minorHAnsi"/>
          <w:color w:val="333333"/>
          <w:kern w:val="0"/>
          <w:szCs w:val="21"/>
        </w:rPr>
        <w:t>；</w:t>
      </w:r>
    </w:p>
    <w:p>
      <w:pPr>
        <w:pStyle w:val="19"/>
        <w:widowControl/>
        <w:numPr>
          <w:ilvl w:val="0"/>
          <w:numId w:val="3"/>
        </w:numPr>
        <w:spacing w:line="360" w:lineRule="auto"/>
        <w:ind w:firstLineChars="0"/>
        <w:jc w:val="left"/>
        <w:rPr>
          <w:rFonts w:cs="Arial" w:asciiTheme="minorHAnsi" w:hAnsiTheme="minorHAnsi"/>
          <w:color w:val="333333"/>
          <w:kern w:val="0"/>
          <w:szCs w:val="21"/>
        </w:rPr>
      </w:pPr>
      <w:r>
        <w:rPr>
          <w:rFonts w:hint="eastAsia" w:asciiTheme="minorHAnsi" w:hAnsiTheme="minorHAnsi"/>
        </w:rPr>
        <w:t>学校位于澳大利亚东南部的旅游名城布里斯班，毗邻著名的黄金海岸</w:t>
      </w:r>
      <w:r>
        <w:rPr>
          <w:rFonts w:asciiTheme="minorHAnsi" w:hAnsiTheme="minorHAnsi"/>
        </w:rPr>
        <w:t>，</w:t>
      </w:r>
      <w:r>
        <w:rPr>
          <w:rFonts w:ascii="Arial" w:hAnsi="Arial" w:cs="Arial"/>
          <w:color w:val="333333"/>
          <w:szCs w:val="21"/>
          <w:shd w:val="clear" w:color="auto" w:fill="FFFFFF"/>
        </w:rPr>
        <w:t>气候温和，四季宜人</w:t>
      </w:r>
      <w:r>
        <w:rPr>
          <w:rFonts w:hint="eastAsia" w:ascii="Arial" w:hAnsi="Arial" w:cs="Arial"/>
          <w:color w:val="333333"/>
          <w:szCs w:val="21"/>
          <w:shd w:val="clear" w:color="auto" w:fill="FFFFFF"/>
        </w:rPr>
        <w:t>，</w:t>
      </w:r>
      <w:r>
        <w:rPr>
          <w:rFonts w:hint="eastAsia" w:asciiTheme="minorHAnsi" w:hAnsiTheme="minorHAnsi"/>
        </w:rPr>
        <w:t>是</w:t>
      </w:r>
      <w:r>
        <w:rPr>
          <w:rFonts w:asciiTheme="minorHAnsi" w:hAnsiTheme="minorHAnsi"/>
        </w:rPr>
        <w:t>澳洲最宜居</w:t>
      </w:r>
      <w:r>
        <w:rPr>
          <w:rFonts w:hint="eastAsia" w:asciiTheme="minorHAnsi" w:hAnsiTheme="minorHAnsi"/>
        </w:rPr>
        <w:t>、</w:t>
      </w:r>
      <w:r>
        <w:rPr>
          <w:rFonts w:asciiTheme="minorHAnsi" w:hAnsiTheme="minorHAnsi"/>
        </w:rPr>
        <w:t>同时也是生活成本最低的城市之一</w:t>
      </w:r>
    </w:p>
    <w:p>
      <w:pPr>
        <w:pStyle w:val="19"/>
        <w:widowControl/>
        <w:spacing w:line="360" w:lineRule="auto"/>
        <w:ind w:left="420" w:firstLine="0" w:firstLineChars="0"/>
        <w:jc w:val="left"/>
        <w:rPr>
          <w:rFonts w:ascii="Arial" w:hAnsi="Arial" w:cs="Arial"/>
          <w:color w:val="333333"/>
          <w:szCs w:val="21"/>
          <w:shd w:val="clear" w:color="auto" w:fill="FFFFFF"/>
        </w:rPr>
      </w:pPr>
      <w:r>
        <w:drawing>
          <wp:anchor distT="0" distB="0" distL="114300" distR="114300" simplePos="0" relativeHeight="251667456" behindDoc="0" locked="0" layoutInCell="1" allowOverlap="1">
            <wp:simplePos x="0" y="0"/>
            <wp:positionH relativeFrom="column">
              <wp:posOffset>92710</wp:posOffset>
            </wp:positionH>
            <wp:positionV relativeFrom="paragraph">
              <wp:posOffset>142875</wp:posOffset>
            </wp:positionV>
            <wp:extent cx="5274310" cy="2096135"/>
            <wp:effectExtent l="0" t="0" r="8890" b="1206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274310" cy="2096135"/>
                    </a:xfrm>
                    <a:prstGeom prst="rect">
                      <a:avLst/>
                    </a:prstGeom>
                  </pic:spPr>
                </pic:pic>
              </a:graphicData>
            </a:graphic>
          </wp:anchor>
        </w:drawing>
      </w:r>
    </w:p>
    <w:p>
      <w:pPr>
        <w:pStyle w:val="19"/>
        <w:widowControl/>
        <w:numPr>
          <w:ilvl w:val="0"/>
          <w:numId w:val="2"/>
        </w:numPr>
        <w:spacing w:line="360" w:lineRule="auto"/>
        <w:ind w:firstLineChars="0"/>
        <w:jc w:val="left"/>
        <w:rPr>
          <w:rFonts w:asciiTheme="minorHAnsi" w:hAnsiTheme="minorHAnsi" w:cstheme="minorHAnsi"/>
          <w:b/>
          <w:kern w:val="0"/>
          <w:szCs w:val="21"/>
        </w:rPr>
      </w:pPr>
      <w:r>
        <w:rPr>
          <w:rFonts w:hint="eastAsia" w:asciiTheme="minorHAnsi" w:hAnsiTheme="minorHAnsi" w:cstheme="minorHAnsi"/>
          <w:b/>
          <w:kern w:val="0"/>
          <w:szCs w:val="21"/>
        </w:rPr>
        <w:t>项目详情</w:t>
      </w:r>
    </w:p>
    <w:p>
      <w:pPr>
        <w:widowControl/>
        <w:spacing w:line="360" w:lineRule="auto"/>
        <w:jc w:val="left"/>
        <w:rPr>
          <w:rFonts w:asciiTheme="minorHAnsi" w:hAnsiTheme="minorHAnsi" w:eastAsiaTheme="majorEastAsia" w:cstheme="minorHAnsi"/>
          <w:szCs w:val="21"/>
        </w:rPr>
      </w:pPr>
      <w:r>
        <w:rPr>
          <w:rFonts w:cs="Calibri" w:asciiTheme="minorHAnsi" w:hAnsiTheme="minorHAnsi"/>
          <w:szCs w:val="21"/>
        </w:rPr>
        <w:t>【</w:t>
      </w:r>
      <w:r>
        <w:rPr>
          <w:rFonts w:hint="eastAsia" w:cs="Calibri" w:asciiTheme="minorHAnsi" w:hAnsiTheme="minorHAnsi"/>
          <w:b/>
          <w:szCs w:val="21"/>
        </w:rPr>
        <w:t>课程日期</w:t>
      </w:r>
      <w:r>
        <w:rPr>
          <w:rFonts w:cs="Calibri" w:asciiTheme="minorHAnsi" w:hAnsiTheme="minorHAnsi"/>
          <w:szCs w:val="21"/>
        </w:rPr>
        <w:t>】</w:t>
      </w:r>
    </w:p>
    <w:p>
      <w:pPr>
        <w:widowControl/>
        <w:spacing w:line="360" w:lineRule="auto"/>
        <w:ind w:firstLine="422"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b/>
          <w:szCs w:val="21"/>
        </w:rPr>
        <w:t xml:space="preserve">2020年1月6日 </w:t>
      </w:r>
      <w:r>
        <w:rPr>
          <w:rFonts w:asciiTheme="minorHAnsi" w:hAnsiTheme="minorHAnsi" w:eastAsiaTheme="majorEastAsia" w:cstheme="minorHAnsi"/>
          <w:b/>
          <w:szCs w:val="21"/>
        </w:rPr>
        <w:t>–</w:t>
      </w:r>
      <w:r>
        <w:rPr>
          <w:rFonts w:hint="eastAsia" w:asciiTheme="minorHAnsi" w:hAnsiTheme="minorHAnsi" w:eastAsiaTheme="majorEastAsia" w:cstheme="minorHAnsi"/>
          <w:b/>
          <w:szCs w:val="21"/>
        </w:rPr>
        <w:t xml:space="preserve"> 2月7日</w:t>
      </w:r>
      <w:r>
        <w:rPr>
          <w:rFonts w:hint="eastAsia" w:asciiTheme="minorHAnsi" w:hAnsiTheme="minorHAnsi" w:eastAsiaTheme="majorEastAsia" w:cstheme="minorHAnsi"/>
          <w:szCs w:val="21"/>
        </w:rPr>
        <w:t>（5周）</w:t>
      </w:r>
    </w:p>
    <w:p>
      <w:pPr>
        <w:widowControl/>
        <w:spacing w:line="360" w:lineRule="auto"/>
        <w:jc w:val="left"/>
        <w:rPr>
          <w:rFonts w:asciiTheme="minorHAnsi" w:hAnsiTheme="minorHAnsi" w:eastAsiaTheme="majorEastAsia" w:cstheme="minorHAnsi"/>
          <w:szCs w:val="21"/>
        </w:rPr>
      </w:pPr>
      <w:r>
        <w:rPr>
          <w:rFonts w:cs="Calibri" w:asciiTheme="minorHAnsi" w:hAnsiTheme="minorHAnsi"/>
          <w:szCs w:val="21"/>
        </w:rPr>
        <w:t>【</w:t>
      </w:r>
      <w:r>
        <w:rPr>
          <w:rFonts w:hint="eastAsia" w:cs="Calibri" w:asciiTheme="minorHAnsi" w:hAnsiTheme="minorHAnsi"/>
          <w:b/>
          <w:szCs w:val="21"/>
        </w:rPr>
        <w:t>课程内容</w:t>
      </w:r>
      <w:r>
        <w:rPr>
          <w:rFonts w:cs="Calibri" w:asciiTheme="minorHAnsi" w:hAnsiTheme="minorHAnsi"/>
          <w:szCs w:val="21"/>
        </w:rPr>
        <w:t>】</w:t>
      </w:r>
    </w:p>
    <w:p>
      <w:pPr>
        <w:pStyle w:val="19"/>
        <w:widowControl/>
        <w:numPr>
          <w:ilvl w:val="0"/>
          <w:numId w:val="4"/>
        </w:numPr>
        <w:spacing w:line="360" w:lineRule="auto"/>
        <w:ind w:left="224" w:leftChars="102" w:hanging="10" w:firstLineChars="0"/>
        <w:rPr>
          <w:rFonts w:asciiTheme="minorHAnsi" w:hAnsiTheme="minorHAnsi" w:eastAsiaTheme="majorEastAsia" w:cstheme="minorHAnsi"/>
          <w:szCs w:val="21"/>
          <w:u w:val="single"/>
        </w:rPr>
      </w:pPr>
      <w:r>
        <w:rPr>
          <w:rFonts w:hint="eastAsia" w:asciiTheme="minorHAnsi" w:hAnsiTheme="minorHAnsi" w:eastAsiaTheme="majorEastAsia" w:cstheme="minorHAnsi"/>
          <w:szCs w:val="21"/>
          <w:u w:val="single"/>
        </w:rPr>
        <w:t>通用英语</w:t>
      </w:r>
      <w:r>
        <w:rPr>
          <w:rFonts w:hint="eastAsia" w:asciiTheme="minorHAnsi" w:hAnsiTheme="minorHAnsi" w:eastAsiaTheme="majorEastAsia" w:cstheme="minorHAnsi"/>
          <w:szCs w:val="21"/>
        </w:rPr>
        <w:t>（General English）</w:t>
      </w:r>
      <w:r>
        <w:rPr>
          <w:rFonts w:asciiTheme="minorHAnsi" w:hAnsiTheme="minorHAnsi" w:eastAsiaTheme="majorEastAsia" w:cstheme="minorHAnsi"/>
          <w:szCs w:val="21"/>
          <w:u w:val="single"/>
        </w:rPr>
        <w:br w:type="textWrapping"/>
      </w:r>
      <w:r>
        <w:rPr>
          <w:rFonts w:hint="eastAsia" w:asciiTheme="minorHAnsi" w:hAnsiTheme="minorHAnsi" w:eastAsiaTheme="majorEastAsia" w:cstheme="minorHAnsi"/>
          <w:szCs w:val="21"/>
        </w:rPr>
        <w:t xml:space="preserve">    本课程适合从初级到高级各个级别的英语学习者，旨在提升学生日常生活、工作或出行所需的英语综合运用能力，比如讨论新闻事件、分享意见、理解电影或网站的原文内容、撰写邮件或笔记、清晰准确地进行对话交流等。</w:t>
      </w:r>
    </w:p>
    <w:p>
      <w:pPr>
        <w:pStyle w:val="19"/>
        <w:widowControl/>
        <w:numPr>
          <w:ilvl w:val="0"/>
          <w:numId w:val="4"/>
        </w:numPr>
        <w:spacing w:line="360" w:lineRule="auto"/>
        <w:ind w:left="426" w:leftChars="103" w:hanging="210" w:hangingChars="100"/>
        <w:jc w:val="left"/>
        <w:rPr>
          <w:rFonts w:asciiTheme="minorHAnsi" w:hAnsiTheme="minorHAnsi" w:eastAsiaTheme="majorEastAsia" w:cstheme="minorHAnsi"/>
          <w:szCs w:val="21"/>
        </w:rPr>
      </w:pPr>
      <w:r>
        <w:rPr>
          <w:rFonts w:hint="eastAsia" w:asciiTheme="minorHAnsi" w:hAnsiTheme="minorHAnsi" w:eastAsiaTheme="majorEastAsia" w:cstheme="minorHAnsi"/>
          <w:szCs w:val="21"/>
          <w:u w:val="single"/>
        </w:rPr>
        <w:t>国际商务沟通英语</w:t>
      </w:r>
      <w:r>
        <w:rPr>
          <w:rFonts w:hint="eastAsia" w:asciiTheme="minorHAnsi" w:hAnsiTheme="minorHAnsi" w:eastAsiaTheme="majorEastAsia" w:cstheme="minorHAnsi"/>
          <w:szCs w:val="21"/>
        </w:rPr>
        <w:t>（English for International Business Communication）</w:t>
      </w:r>
      <w:r>
        <w:rPr>
          <w:rFonts w:asciiTheme="minorHAnsi" w:hAnsiTheme="minorHAnsi" w:eastAsiaTheme="majorEastAsia" w:cstheme="minorHAnsi"/>
          <w:szCs w:val="21"/>
        </w:rPr>
        <w:br w:type="textWrapping"/>
      </w:r>
      <w:r>
        <w:rPr>
          <w:rFonts w:hint="eastAsia" w:asciiTheme="minorHAnsi" w:hAnsiTheme="minorHAnsi" w:eastAsiaTheme="majorEastAsia" w:cstheme="minorHAnsi"/>
          <w:szCs w:val="21"/>
        </w:rPr>
        <w:t xml:space="preserve">  </w:t>
      </w:r>
      <w:r>
        <w:rPr>
          <w:rFonts w:asciiTheme="minorHAnsi" w:hAnsiTheme="minorHAnsi" w:eastAsiaTheme="majorEastAsia" w:cstheme="minorHAnsi"/>
          <w:szCs w:val="21"/>
        </w:rPr>
        <w:t>本课程旨在提升学生在国际商务情境中的英语综合运用能力</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学生将</w:t>
      </w:r>
      <w:r>
        <w:rPr>
          <w:rFonts w:hint="eastAsia" w:asciiTheme="minorHAnsi" w:hAnsiTheme="minorHAnsi" w:eastAsiaTheme="majorEastAsia" w:cstheme="minorHAnsi"/>
          <w:szCs w:val="21"/>
        </w:rPr>
        <w:t>掌握</w:t>
      </w:r>
      <w:r>
        <w:rPr>
          <w:rFonts w:asciiTheme="minorHAnsi" w:hAnsiTheme="minorHAnsi" w:eastAsiaTheme="majorEastAsia" w:cstheme="minorHAnsi"/>
          <w:szCs w:val="21"/>
        </w:rPr>
        <w:t>商业专</w:t>
      </w:r>
    </w:p>
    <w:p>
      <w:pPr>
        <w:widowControl/>
        <w:spacing w:line="360" w:lineRule="auto"/>
        <w:ind w:left="210" w:leftChars="100" w:firstLine="10"/>
        <w:jc w:val="left"/>
        <w:rPr>
          <w:rFonts w:asciiTheme="minorHAnsi" w:hAnsiTheme="minorHAnsi" w:eastAsiaTheme="majorEastAsia" w:cstheme="minorHAnsi"/>
          <w:szCs w:val="21"/>
        </w:rPr>
      </w:pPr>
      <w:r>
        <w:rPr>
          <w:rFonts w:asciiTheme="minorHAnsi" w:hAnsiTheme="minorHAnsi" w:eastAsiaTheme="majorEastAsia" w:cstheme="minorHAnsi"/>
          <w:szCs w:val="21"/>
        </w:rPr>
        <w:t>业术语与实践</w:t>
      </w:r>
      <w:r>
        <w:rPr>
          <w:rFonts w:hint="eastAsia" w:asciiTheme="minorHAnsi" w:hAnsiTheme="minorHAnsi" w:eastAsiaTheme="majorEastAsia" w:cstheme="minorHAnsi"/>
          <w:szCs w:val="21"/>
        </w:rPr>
        <w:t>，提高商务演讲技巧，学习撰写不同类型的商务文件，以及如何积极地参与商务会议。课程共分为两个级别。</w:t>
      </w:r>
    </w:p>
    <w:p>
      <w:pPr>
        <w:pStyle w:val="19"/>
        <w:widowControl/>
        <w:numPr>
          <w:ilvl w:val="0"/>
          <w:numId w:val="4"/>
        </w:numPr>
        <w:spacing w:line="360" w:lineRule="auto"/>
        <w:ind w:left="426" w:leftChars="103" w:hanging="210" w:hangingChars="100"/>
        <w:jc w:val="left"/>
        <w:rPr>
          <w:rFonts w:asciiTheme="minorHAnsi" w:hAnsiTheme="minorHAnsi" w:eastAsiaTheme="majorEastAsia" w:cstheme="minorHAnsi"/>
          <w:szCs w:val="21"/>
        </w:rPr>
      </w:pPr>
      <w:r>
        <w:rPr>
          <w:rFonts w:hint="eastAsia" w:asciiTheme="minorHAnsi" w:hAnsiTheme="minorHAnsi" w:eastAsiaTheme="majorEastAsia" w:cstheme="minorHAnsi"/>
          <w:szCs w:val="21"/>
          <w:u w:val="single"/>
        </w:rPr>
        <w:t>学术英语</w:t>
      </w:r>
      <w:r>
        <w:rPr>
          <w:rFonts w:hint="eastAsia" w:asciiTheme="minorHAnsi" w:hAnsiTheme="minorHAnsi" w:eastAsiaTheme="majorEastAsia" w:cstheme="minorHAnsi"/>
          <w:szCs w:val="21"/>
        </w:rPr>
        <w:t>（English for Academic English）</w:t>
      </w:r>
    </w:p>
    <w:p>
      <w:pPr>
        <w:pStyle w:val="19"/>
        <w:widowControl/>
        <w:spacing w:line="360" w:lineRule="auto"/>
        <w:ind w:left="424" w:leftChars="202" w:firstLine="210" w:firstLineChars="1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本课程适合希望提升实用学术英语水平的学生。通过学习，学生可以更加自信地</w:t>
      </w:r>
    </w:p>
    <w:p>
      <w:pPr>
        <w:widowControl/>
        <w:spacing w:line="360" w:lineRule="auto"/>
        <w:ind w:left="426" w:leftChars="103" w:hanging="210" w:hangingChars="1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参加学术讲座、记录笔记、撰写学术文章、阅读学术内容、参与学术讨论以及进行学</w:t>
      </w:r>
    </w:p>
    <w:p>
      <w:pPr>
        <w:widowControl/>
        <w:spacing w:line="360" w:lineRule="auto"/>
        <w:ind w:left="426" w:leftChars="103" w:hanging="210" w:hangingChars="1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术演示。课程共分为三个级别。</w:t>
      </w:r>
    </w:p>
    <w:p>
      <w:pPr>
        <w:widowControl/>
        <w:spacing w:line="360" w:lineRule="auto"/>
        <w:ind w:left="218" w:leftChars="104" w:firstLine="401" w:firstLineChars="191"/>
        <w:jc w:val="left"/>
        <w:rPr>
          <w:rFonts w:asciiTheme="minorHAnsi" w:hAnsiTheme="minorHAnsi" w:eastAsiaTheme="majorEastAsia" w:cstheme="minorHAnsi"/>
          <w:szCs w:val="21"/>
        </w:rPr>
      </w:pPr>
    </w:p>
    <w:p>
      <w:pPr>
        <w:widowControl/>
        <w:spacing w:line="360" w:lineRule="auto"/>
        <w:ind w:left="218" w:leftChars="104" w:firstLine="401" w:firstLineChars="191"/>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昆士兰大学的语言文化课程每周的课时为约20小时， 每个班学生人数不超过18人，以保证最佳的教学效果。</w:t>
      </w:r>
    </w:p>
    <w:p>
      <w:pPr>
        <w:widowControl/>
        <w:spacing w:line="360" w:lineRule="auto"/>
        <w:ind w:firstLine="420" w:firstLineChars="200"/>
        <w:jc w:val="left"/>
        <w:rPr>
          <w:rFonts w:asciiTheme="minorHAnsi" w:hAnsiTheme="minorHAnsi" w:eastAsiaTheme="majorEastAsia" w:cstheme="minorHAnsi"/>
          <w:szCs w:val="21"/>
        </w:rPr>
      </w:pPr>
      <w:r>
        <w:drawing>
          <wp:anchor distT="0" distB="0" distL="114300" distR="114300" simplePos="0" relativeHeight="251685888" behindDoc="0" locked="0" layoutInCell="1" allowOverlap="1">
            <wp:simplePos x="0" y="0"/>
            <wp:positionH relativeFrom="column">
              <wp:posOffset>238760</wp:posOffset>
            </wp:positionH>
            <wp:positionV relativeFrom="paragraph">
              <wp:posOffset>31750</wp:posOffset>
            </wp:positionV>
            <wp:extent cx="4676775" cy="1946275"/>
            <wp:effectExtent l="0" t="0" r="9525" b="952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676775" cy="1946275"/>
                    </a:xfrm>
                    <a:prstGeom prst="rect">
                      <a:avLst/>
                    </a:prstGeom>
                  </pic:spPr>
                </pic:pic>
              </a:graphicData>
            </a:graphic>
          </wp:anchor>
        </w:drawing>
      </w:r>
    </w:p>
    <w:p>
      <w:pPr>
        <w:widowControl/>
        <w:spacing w:line="360" w:lineRule="auto"/>
        <w:ind w:firstLine="420" w:firstLineChars="200"/>
        <w:jc w:val="left"/>
        <w:rPr>
          <w:rFonts w:asciiTheme="minorHAnsi" w:hAnsiTheme="minorHAnsi" w:eastAsiaTheme="majorEastAsia" w:cstheme="minorHAnsi"/>
          <w:szCs w:val="21"/>
        </w:rPr>
      </w:pPr>
    </w:p>
    <w:p>
      <w:pPr>
        <w:widowControl/>
        <w:spacing w:line="360" w:lineRule="auto"/>
        <w:jc w:val="left"/>
        <w:rPr>
          <w:rFonts w:cs="Calibri" w:asciiTheme="minorHAnsi" w:hAnsiTheme="minorHAnsi"/>
          <w:szCs w:val="21"/>
        </w:rPr>
      </w:pPr>
    </w:p>
    <w:p>
      <w:pPr>
        <w:widowControl/>
        <w:spacing w:line="360" w:lineRule="auto"/>
        <w:jc w:val="left"/>
        <w:rPr>
          <w:rFonts w:cs="Calibri" w:asciiTheme="minorHAnsi" w:hAnsiTheme="minorHAnsi"/>
          <w:szCs w:val="21"/>
        </w:rPr>
      </w:pPr>
    </w:p>
    <w:p>
      <w:pPr>
        <w:widowControl/>
        <w:spacing w:line="360" w:lineRule="auto"/>
        <w:jc w:val="left"/>
        <w:rPr>
          <w:rFonts w:cs="Calibri" w:asciiTheme="minorHAnsi" w:hAnsiTheme="minorHAnsi"/>
          <w:szCs w:val="21"/>
        </w:rPr>
      </w:pPr>
    </w:p>
    <w:p>
      <w:pPr>
        <w:widowControl/>
        <w:spacing w:line="360" w:lineRule="auto"/>
        <w:jc w:val="left"/>
        <w:rPr>
          <w:rFonts w:cs="Calibri" w:asciiTheme="minorHAnsi" w:hAnsiTheme="minorHAnsi"/>
          <w:szCs w:val="21"/>
        </w:rPr>
      </w:pPr>
    </w:p>
    <w:p>
      <w:pPr>
        <w:widowControl/>
        <w:spacing w:line="360" w:lineRule="auto"/>
        <w:jc w:val="left"/>
        <w:rPr>
          <w:rFonts w:cs="Calibri" w:asciiTheme="minorHAnsi" w:hAnsiTheme="minorHAnsi"/>
          <w:szCs w:val="21"/>
        </w:rPr>
      </w:pPr>
    </w:p>
    <w:p>
      <w:pPr>
        <w:widowControl/>
        <w:spacing w:line="360" w:lineRule="auto"/>
        <w:jc w:val="left"/>
        <w:rPr>
          <w:rFonts w:cs="Calibri" w:asciiTheme="minorHAnsi" w:hAnsiTheme="minorHAnsi"/>
          <w:szCs w:val="21"/>
        </w:rPr>
      </w:pPr>
      <w:r>
        <w:rPr>
          <w:rFonts w:cs="Calibri" w:asciiTheme="minorHAnsi" w:hAnsiTheme="minorHAnsi"/>
          <w:szCs w:val="21"/>
        </w:rPr>
        <w:t>【</w:t>
      </w:r>
      <w:r>
        <w:rPr>
          <w:rFonts w:hint="eastAsia" w:cs="Calibri" w:asciiTheme="minorHAnsi" w:hAnsiTheme="minorHAnsi"/>
          <w:b/>
          <w:szCs w:val="21"/>
        </w:rPr>
        <w:t>文化活动</w:t>
      </w:r>
      <w:r>
        <w:rPr>
          <w:rFonts w:cs="Calibri" w:asciiTheme="minorHAnsi" w:hAnsiTheme="minorHAnsi"/>
          <w:szCs w:val="21"/>
        </w:rPr>
        <w:t>】</w:t>
      </w:r>
    </w:p>
    <w:p>
      <w:pPr>
        <w:spacing w:line="360" w:lineRule="auto"/>
        <w:ind w:firstLine="420" w:firstLineChars="200"/>
        <w:rPr>
          <w:rFonts w:asciiTheme="minorHAnsi" w:hAnsiTheme="minorHAnsi" w:eastAsiaTheme="majorEastAsia" w:cstheme="minorHAnsi"/>
          <w:szCs w:val="21"/>
        </w:rPr>
      </w:pPr>
      <w:r>
        <w:rPr>
          <w:rFonts w:hint="eastAsia" w:asciiTheme="minorHAnsi" w:hAnsiTheme="minorHAnsi" w:eastAsiaTheme="majorEastAsia" w:cstheme="minorHAnsi"/>
          <w:szCs w:val="21"/>
        </w:rPr>
        <w:t>课堂之余，学生可以免费或付费参加语言中心或昆大组织的各类文化体验活动，比如合唱团、口语俱乐部、体育活动、舞蹈社团、瑜伽与冥想、摄影、创业协会等。</w:t>
      </w:r>
    </w:p>
    <w:p>
      <w:pPr>
        <w:spacing w:line="360" w:lineRule="auto"/>
        <w:ind w:firstLine="420" w:firstLineChars="200"/>
        <w:rPr>
          <w:rFonts w:asciiTheme="minorHAnsi" w:hAnsiTheme="minorHAnsi" w:eastAsiaTheme="majorEastAsia" w:cstheme="minorHAnsi"/>
          <w:szCs w:val="21"/>
        </w:rPr>
      </w:pPr>
    </w:p>
    <w:p>
      <w:pPr>
        <w:spacing w:line="360" w:lineRule="auto"/>
        <w:ind w:firstLine="420" w:firstLineChars="200"/>
        <w:rPr>
          <w:rFonts w:asciiTheme="minorHAnsi" w:hAnsiTheme="minorHAnsi" w:eastAsiaTheme="majorEastAsia" w:cstheme="minorHAnsi"/>
          <w:szCs w:val="21"/>
        </w:rPr>
      </w:pPr>
      <w:r>
        <w:rPr>
          <w:rFonts w:hint="eastAsia" w:asciiTheme="minorHAnsi" w:hAnsiTheme="minorHAnsi" w:eastAsiaTheme="majorEastAsia" w:cstheme="minorHAnsi"/>
          <w:szCs w:val="21"/>
        </w:rPr>
        <w:t>项目学生均可获得昆士兰大学正式注册的学生证，凭借学生证可在项目期内，按校方规定使用学校的校园设施与教育资源，包括图书馆、健身房、活动中心等。学生将入住由校方管理并安排的寄宿家庭（含餐），使学生能够更加近距离地体验当地社会文化，迅速提高自己的语言水平。</w:t>
      </w:r>
    </w:p>
    <w:p>
      <w:pPr>
        <w:spacing w:line="360" w:lineRule="auto"/>
        <w:ind w:firstLine="420" w:firstLineChars="200"/>
        <w:rPr>
          <w:rFonts w:cs="Calibri" w:asciiTheme="minorHAnsi" w:hAnsiTheme="minorHAnsi"/>
          <w:szCs w:val="21"/>
        </w:rPr>
      </w:pPr>
      <w:r>
        <w:drawing>
          <wp:anchor distT="0" distB="0" distL="114300" distR="114300" simplePos="0" relativeHeight="251693056" behindDoc="0" locked="0" layoutInCell="1" allowOverlap="1">
            <wp:simplePos x="0" y="0"/>
            <wp:positionH relativeFrom="column">
              <wp:posOffset>3633470</wp:posOffset>
            </wp:positionH>
            <wp:positionV relativeFrom="paragraph">
              <wp:posOffset>245745</wp:posOffset>
            </wp:positionV>
            <wp:extent cx="1762125" cy="1200150"/>
            <wp:effectExtent l="0" t="0" r="3175" b="6350"/>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62125" cy="1200150"/>
                    </a:xfrm>
                    <a:prstGeom prst="rect">
                      <a:avLst/>
                    </a:prstGeom>
                  </pic:spPr>
                </pic:pic>
              </a:graphicData>
            </a:graphic>
          </wp:anchor>
        </w:drawing>
      </w:r>
      <w:r>
        <w:drawing>
          <wp:anchor distT="0" distB="0" distL="114300" distR="114300" simplePos="0" relativeHeight="251692032" behindDoc="0" locked="0" layoutInCell="1" allowOverlap="1">
            <wp:simplePos x="0" y="0"/>
            <wp:positionH relativeFrom="column">
              <wp:posOffset>1804035</wp:posOffset>
            </wp:positionH>
            <wp:positionV relativeFrom="paragraph">
              <wp:posOffset>231775</wp:posOffset>
            </wp:positionV>
            <wp:extent cx="1828800" cy="1207135"/>
            <wp:effectExtent l="0" t="0" r="0" b="12065"/>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828800" cy="1207135"/>
                    </a:xfrm>
                    <a:prstGeom prst="rect">
                      <a:avLst/>
                    </a:prstGeom>
                  </pic:spPr>
                </pic:pic>
              </a:graphicData>
            </a:graphic>
          </wp:anchor>
        </w:drawing>
      </w:r>
      <w:r>
        <w:drawing>
          <wp:anchor distT="0" distB="0" distL="114300" distR="114300" simplePos="0" relativeHeight="251691008" behindDoc="0" locked="0" layoutInCell="1" allowOverlap="1">
            <wp:simplePos x="0" y="0"/>
            <wp:positionH relativeFrom="column">
              <wp:posOffset>29210</wp:posOffset>
            </wp:positionH>
            <wp:positionV relativeFrom="paragraph">
              <wp:posOffset>245745</wp:posOffset>
            </wp:positionV>
            <wp:extent cx="1762125" cy="1188085"/>
            <wp:effectExtent l="0" t="0" r="3175" b="5715"/>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762125" cy="1188085"/>
                    </a:xfrm>
                    <a:prstGeom prst="rect">
                      <a:avLst/>
                    </a:prstGeom>
                  </pic:spPr>
                </pic:pic>
              </a:graphicData>
            </a:graphic>
          </wp:anchor>
        </w:drawing>
      </w:r>
    </w:p>
    <w:p>
      <w:pPr>
        <w:spacing w:line="360" w:lineRule="auto"/>
        <w:rPr>
          <w:rFonts w:cs="Calibri" w:asciiTheme="minorHAnsi" w:hAnsiTheme="minorHAnsi"/>
          <w:szCs w:val="21"/>
        </w:rPr>
      </w:pPr>
    </w:p>
    <w:p>
      <w:pPr>
        <w:spacing w:line="360" w:lineRule="auto"/>
        <w:rPr>
          <w:rFonts w:ascii="Calibri" w:hAnsi="Calibri" w:cs="Calibri"/>
        </w:rPr>
      </w:pPr>
      <w:r>
        <w:rPr>
          <w:rFonts w:cs="Calibri" w:asciiTheme="minorHAnsi" w:hAnsiTheme="minorHAnsi"/>
          <w:szCs w:val="21"/>
        </w:rPr>
        <w:t>【</w:t>
      </w:r>
      <w:r>
        <w:rPr>
          <w:rFonts w:hint="eastAsia" w:cs="Calibri" w:asciiTheme="minorHAnsi" w:hAnsiTheme="minorHAnsi"/>
          <w:b/>
          <w:szCs w:val="21"/>
        </w:rPr>
        <w:t>项目证书</w:t>
      </w:r>
      <w:r>
        <w:rPr>
          <w:rFonts w:cs="Calibri" w:asciiTheme="minorHAnsi" w:hAnsiTheme="minorHAnsi"/>
          <w:szCs w:val="21"/>
        </w:rPr>
        <w:t>】</w:t>
      </w:r>
    </w:p>
    <w:p>
      <w:pPr>
        <w:ind w:firstLine="420" w:firstLineChars="200"/>
        <w:rPr>
          <w:rFonts w:asciiTheme="minorHAnsi" w:hAnsiTheme="minorHAnsi" w:eastAsiaTheme="majorEastAsia" w:cstheme="minorHAnsi"/>
          <w:szCs w:val="21"/>
        </w:rPr>
      </w:pPr>
      <w:r>
        <w:rPr>
          <w:rFonts w:hint="eastAsia" w:asciiTheme="minorHAnsi" w:hAnsiTheme="minorHAnsi" w:eastAsiaTheme="majorEastAsia" w:cstheme="minorHAnsi"/>
          <w:szCs w:val="21"/>
        </w:rPr>
        <w:t>顺利完成所有课程，并通过学术考核的学生，将获得昆士兰大学出具的正式成绩单及学习证明。</w:t>
      </w:r>
    </w:p>
    <w:p>
      <w:pPr>
        <w:ind w:firstLine="420" w:firstLineChars="200"/>
        <w:rPr>
          <w:rFonts w:ascii="Calibri" w:hAnsi="Calibri" w:cs="Calibri"/>
        </w:rPr>
      </w:pPr>
      <w:r>
        <w:drawing>
          <wp:anchor distT="0" distB="0" distL="0" distR="0" simplePos="0" relativeHeight="251694080" behindDoc="0" locked="0" layoutInCell="1" allowOverlap="1">
            <wp:simplePos x="0" y="0"/>
            <wp:positionH relativeFrom="column">
              <wp:posOffset>266700</wp:posOffset>
            </wp:positionH>
            <wp:positionV relativeFrom="paragraph">
              <wp:posOffset>104140</wp:posOffset>
            </wp:positionV>
            <wp:extent cx="1981200" cy="2972435"/>
            <wp:effectExtent l="0" t="0" r="0" b="12065"/>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1"/>
                    <a:stretch>
                      <a:fillRect/>
                    </a:stretch>
                  </pic:blipFill>
                  <pic:spPr>
                    <a:xfrm>
                      <a:off x="0" y="0"/>
                      <a:ext cx="1981200" cy="2972435"/>
                    </a:xfrm>
                    <a:prstGeom prst="rect">
                      <a:avLst/>
                    </a:prstGeom>
                  </pic:spPr>
                </pic:pic>
              </a:graphicData>
            </a:graphic>
          </wp:anchor>
        </w:drawing>
      </w:r>
    </w:p>
    <w:p>
      <w:pPr>
        <w:ind w:firstLine="420" w:firstLineChars="200"/>
        <w:rPr>
          <w:rFonts w:ascii="Calibri" w:hAnsi="Calibri" w:cs="Calibri"/>
        </w:rPr>
      </w:pPr>
    </w:p>
    <w:p>
      <w:pPr>
        <w:ind w:firstLine="420" w:firstLineChars="200"/>
        <w:rPr>
          <w:rFonts w:ascii="Calibri" w:hAnsi="Calibri" w:cs="Calibri"/>
        </w:rPr>
      </w:pPr>
    </w:p>
    <w:p>
      <w:pPr>
        <w:ind w:firstLine="420" w:firstLineChars="200"/>
        <w:rPr>
          <w:rFonts w:ascii="Calibri" w:hAnsi="Calibri" w:cs="Calibri"/>
        </w:rPr>
      </w:pPr>
    </w:p>
    <w:p>
      <w:pPr>
        <w:ind w:firstLine="420" w:firstLineChars="200"/>
        <w:rPr>
          <w:rFonts w:ascii="Calibri" w:hAnsi="Calibri" w:cs="Calibri"/>
        </w:rPr>
      </w:pPr>
    </w:p>
    <w:p>
      <w:pPr>
        <w:ind w:firstLine="420" w:firstLineChars="200"/>
        <w:rPr>
          <w:rFonts w:ascii="Calibri" w:hAnsi="Calibri" w:cs="Calibri"/>
        </w:rPr>
      </w:pPr>
    </w:p>
    <w:p>
      <w:pPr>
        <w:ind w:firstLine="420" w:firstLineChars="200"/>
        <w:rPr>
          <w:rFonts w:ascii="Calibri" w:hAnsi="Calibri" w:cs="Calibri"/>
        </w:rPr>
      </w:pPr>
    </w:p>
    <w:p>
      <w:pPr>
        <w:ind w:firstLine="420" w:firstLineChars="200"/>
        <w:rPr>
          <w:rFonts w:ascii="Calibri" w:hAnsi="Calibri" w:cs="Calibri"/>
        </w:rPr>
      </w:pPr>
    </w:p>
    <w:p>
      <w:pPr>
        <w:ind w:firstLine="420" w:firstLineChars="200"/>
        <w:rPr>
          <w:rFonts w:ascii="Calibri" w:hAnsi="Calibri" w:cs="Calibri"/>
        </w:rPr>
      </w:pPr>
    </w:p>
    <w:p>
      <w:pPr>
        <w:ind w:firstLine="420" w:firstLineChars="200"/>
        <w:rPr>
          <w:rFonts w:ascii="Calibri" w:hAnsi="Calibri" w:cs="Calibri"/>
        </w:rPr>
      </w:pPr>
    </w:p>
    <w:p>
      <w:pPr>
        <w:ind w:firstLine="420" w:firstLineChars="200"/>
        <w:rPr>
          <w:rFonts w:ascii="Calibri" w:hAnsi="Calibri" w:cs="Calibri"/>
        </w:rPr>
      </w:pPr>
    </w:p>
    <w:p>
      <w:pPr>
        <w:ind w:firstLine="420" w:firstLineChars="200"/>
        <w:rPr>
          <w:rFonts w:ascii="Calibri" w:hAnsi="Calibri" w:cs="Calibri"/>
        </w:rPr>
      </w:pPr>
    </w:p>
    <w:p>
      <w:pPr>
        <w:ind w:firstLine="420" w:firstLineChars="200"/>
        <w:rPr>
          <w:rFonts w:ascii="Calibri" w:hAnsi="Calibri" w:cs="Calibri"/>
        </w:rPr>
      </w:pPr>
    </w:p>
    <w:p>
      <w:pPr>
        <w:widowControl/>
        <w:spacing w:line="360" w:lineRule="auto"/>
        <w:jc w:val="left"/>
        <w:rPr>
          <w:rFonts w:cs="Calibri" w:asciiTheme="minorHAnsi" w:hAnsiTheme="minorHAnsi"/>
          <w:szCs w:val="21"/>
        </w:rPr>
      </w:pPr>
    </w:p>
    <w:p>
      <w:pPr>
        <w:widowControl/>
        <w:spacing w:line="360" w:lineRule="auto"/>
        <w:jc w:val="left"/>
        <w:rPr>
          <w:rFonts w:cs="Calibri" w:asciiTheme="minorHAnsi" w:hAnsiTheme="minorHAnsi"/>
          <w:szCs w:val="21"/>
        </w:rPr>
      </w:pPr>
    </w:p>
    <w:p>
      <w:pPr>
        <w:widowControl/>
        <w:spacing w:line="360" w:lineRule="auto"/>
        <w:jc w:val="left"/>
        <w:rPr>
          <w:rFonts w:cs="Calibri" w:asciiTheme="minorHAnsi" w:hAnsiTheme="minorHAnsi"/>
          <w:szCs w:val="21"/>
        </w:rPr>
      </w:pPr>
      <w:r>
        <w:rPr>
          <w:rFonts w:hint="eastAsia" w:asciiTheme="minorHAnsi" w:hAnsiTheme="minorHAnsi" w:eastAsiaTheme="majorEastAsia" w:cstheme="minorHAnsi"/>
          <w:szCs w:val="21"/>
        </w:rPr>
        <w:t>图：昆士兰大学语言文化课程项目证书样图</w:t>
      </w:r>
    </w:p>
    <w:p>
      <w:pPr>
        <w:widowControl/>
        <w:spacing w:line="360" w:lineRule="auto"/>
        <w:jc w:val="left"/>
        <w:rPr>
          <w:rFonts w:cs="Calibri" w:asciiTheme="minorHAnsi" w:hAnsiTheme="minorHAnsi"/>
          <w:szCs w:val="21"/>
        </w:rPr>
      </w:pPr>
      <w:r>
        <w:rPr>
          <w:rFonts w:cs="Calibri" w:asciiTheme="minorHAnsi" w:hAnsiTheme="minorHAnsi"/>
          <w:szCs w:val="21"/>
        </w:rPr>
        <w:t>【</w:t>
      </w:r>
      <w:r>
        <w:rPr>
          <w:rFonts w:hint="eastAsia" w:asciiTheme="minorHAnsi" w:hAnsiTheme="minorHAnsi" w:eastAsiaTheme="majorEastAsia" w:cstheme="minorHAnsi"/>
          <w:b/>
          <w:bCs/>
          <w:kern w:val="0"/>
          <w:szCs w:val="21"/>
        </w:rPr>
        <w:t>项目</w:t>
      </w:r>
      <w:r>
        <w:rPr>
          <w:rFonts w:asciiTheme="minorHAnsi" w:hAnsiTheme="minorHAnsi" w:eastAsiaTheme="majorEastAsia" w:cstheme="minorHAnsi"/>
          <w:b/>
          <w:bCs/>
          <w:kern w:val="0"/>
          <w:szCs w:val="21"/>
        </w:rPr>
        <w:t>费用</w:t>
      </w:r>
      <w:r>
        <w:rPr>
          <w:rFonts w:cs="Calibri" w:asciiTheme="minorHAnsi" w:hAnsiTheme="minorHAnsi"/>
          <w:szCs w:val="21"/>
        </w:rPr>
        <w:t>】</w:t>
      </w:r>
    </w:p>
    <w:tbl>
      <w:tblPr>
        <w:tblStyle w:val="11"/>
        <w:tblW w:w="7796"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1417"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项目总费用</w:t>
            </w:r>
          </w:p>
        </w:tc>
        <w:tc>
          <w:tcPr>
            <w:tcW w:w="6379" w:type="dxa"/>
          </w:tcPr>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约3,468澳元（约合人民币1.66万元）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费用包括：</w:t>
            </w:r>
          </w:p>
        </w:tc>
        <w:tc>
          <w:tcPr>
            <w:tcW w:w="6379" w:type="dxa"/>
          </w:tcPr>
          <w:p>
            <w:pPr>
              <w:rPr>
                <w:rFonts w:asciiTheme="minorHAnsi" w:hAnsiTheme="minorHAnsi" w:eastAsiaTheme="majorEastAsia" w:cstheme="minorHAnsi"/>
                <w:szCs w:val="21"/>
              </w:rPr>
            </w:pPr>
            <w:r>
              <w:rPr>
                <w:rFonts w:hint="eastAsia" w:asciiTheme="minorHAnsi" w:hAnsiTheme="minorHAnsi" w:eastAsiaTheme="majorEastAsia" w:cstheme="minorHAnsi"/>
                <w:szCs w:val="21"/>
              </w:rPr>
              <w:t>申请费、学费、学生服务费、医疗保险、与项目设计管理费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费用不包括：</w:t>
            </w:r>
          </w:p>
        </w:tc>
        <w:tc>
          <w:tcPr>
            <w:tcW w:w="6379" w:type="dxa"/>
          </w:tcPr>
          <w:p>
            <w:pPr>
              <w:rPr>
                <w:rFonts w:asciiTheme="minorHAnsi" w:hAnsiTheme="minorHAnsi" w:eastAsiaTheme="majorEastAsia" w:cstheme="minorHAnsi"/>
                <w:szCs w:val="21"/>
              </w:rPr>
            </w:pPr>
            <w:r>
              <w:rPr>
                <w:rFonts w:hint="eastAsia" w:asciiTheme="minorHAnsi" w:hAnsiTheme="minorHAnsi" w:eastAsiaTheme="majorEastAsia" w:cstheme="minorHAnsi"/>
                <w:szCs w:val="21"/>
              </w:rPr>
              <w:t>国际机票、签证、住宿费与餐费、其它个人花费</w:t>
            </w:r>
          </w:p>
          <w:p>
            <w:r>
              <w:rPr>
                <w:rFonts w:hint="eastAsia" w:asciiTheme="minorHAnsi" w:hAnsiTheme="minorHAnsi" w:eastAsiaTheme="majorEastAsia" w:cstheme="minorHAnsi"/>
                <w:szCs w:val="21"/>
              </w:rPr>
              <w:t>注：参加语言文化课程的学生，可入住昆士兰大学管理的寄宿家庭，费用约为每周260澳元</w:t>
            </w:r>
          </w:p>
        </w:tc>
      </w:tr>
    </w:tbl>
    <w:p>
      <w:pPr>
        <w:widowControl/>
        <w:spacing w:line="360" w:lineRule="auto"/>
        <w:jc w:val="left"/>
        <w:rPr>
          <w:rFonts w:asciiTheme="minorHAnsi" w:hAnsiTheme="minorHAnsi" w:eastAsiaTheme="majorEastAsia" w:cstheme="minorHAnsi"/>
          <w:bCs/>
          <w:kern w:val="0"/>
          <w:szCs w:val="21"/>
        </w:rPr>
      </w:pPr>
    </w:p>
    <w:p>
      <w:pPr>
        <w:spacing w:line="360" w:lineRule="auto"/>
        <w:rPr>
          <w:rFonts w:asciiTheme="minorHAnsi" w:hAnsiTheme="minorHAnsi" w:eastAsiaTheme="majorEastAsia" w:cstheme="minorHAnsi"/>
          <w:b/>
          <w:kern w:val="0"/>
          <w:szCs w:val="21"/>
        </w:rPr>
      </w:pPr>
      <w:r>
        <w:rPr>
          <w:rFonts w:hint="eastAsia" w:asciiTheme="minorHAnsi" w:hAnsiTheme="minorHAnsi" w:eastAsiaTheme="majorEastAsia" w:cstheme="minorHAnsi"/>
          <w:b/>
          <w:bCs/>
          <w:kern w:val="0"/>
          <w:szCs w:val="21"/>
        </w:rPr>
        <w:t>五</w:t>
      </w:r>
      <w:r>
        <w:rPr>
          <w:rFonts w:asciiTheme="minorHAnsi" w:hAnsiTheme="minorHAnsi" w:eastAsiaTheme="majorEastAsia" w:cstheme="minorHAnsi"/>
          <w:b/>
          <w:bCs/>
          <w:kern w:val="0"/>
          <w:szCs w:val="21"/>
        </w:rPr>
        <w:t>、</w:t>
      </w:r>
      <w:r>
        <w:rPr>
          <w:rFonts w:hint="eastAsia" w:asciiTheme="minorHAnsi" w:hAnsiTheme="minorHAnsi" w:eastAsiaTheme="majorEastAsia" w:cstheme="minorHAnsi"/>
          <w:b/>
          <w:bCs/>
          <w:kern w:val="0"/>
          <w:szCs w:val="21"/>
        </w:rPr>
        <w:t>项目申请</w:t>
      </w:r>
    </w:p>
    <w:p>
      <w:pPr>
        <w:pStyle w:val="19"/>
        <w:widowControl/>
        <w:numPr>
          <w:ilvl w:val="0"/>
          <w:numId w:val="5"/>
        </w:numPr>
        <w:spacing w:line="360" w:lineRule="auto"/>
        <w:ind w:firstLineChars="0"/>
        <w:jc w:val="left"/>
        <w:rPr>
          <w:rFonts w:cs="Calibri" w:asciiTheme="minorHAnsi" w:hAnsiTheme="minorHAnsi"/>
          <w:szCs w:val="21"/>
        </w:rPr>
      </w:pPr>
      <w:bookmarkStart w:id="0" w:name="_GoBack"/>
      <w:bookmarkEnd w:id="0"/>
      <w:r>
        <w:rPr>
          <w:rFonts w:asciiTheme="minorHAnsi" w:hAnsiTheme="minorHAnsi" w:eastAsiaTheme="majorEastAsia" w:cstheme="minorHAnsi"/>
          <w:b/>
          <w:kern w:val="0"/>
          <w:szCs w:val="21"/>
        </w:rPr>
        <w:t>选拔要求</w:t>
      </w:r>
    </w:p>
    <w:p>
      <w:pPr>
        <w:pStyle w:val="19"/>
        <w:numPr>
          <w:ilvl w:val="0"/>
          <w:numId w:val="6"/>
        </w:numPr>
        <w:spacing w:line="360" w:lineRule="auto"/>
        <w:ind w:left="284" w:firstLine="0" w:firstLineChars="0"/>
        <w:rPr>
          <w:rFonts w:asciiTheme="minorHAnsi" w:hAnsiTheme="minorHAnsi" w:eastAsiaTheme="majorEastAsia" w:cstheme="minorHAnsi"/>
          <w:szCs w:val="21"/>
        </w:rPr>
      </w:pPr>
      <w:r>
        <w:rPr>
          <w:rFonts w:asciiTheme="minorHAnsi" w:hAnsiTheme="minorHAnsi" w:eastAsiaTheme="majorEastAsia" w:cstheme="minorHAnsi"/>
          <w:szCs w:val="21"/>
        </w:rPr>
        <w:t>仅限本校全日制在校生；且成绩优异、道德品质好，在校期间未受过纪律处分，身心健康，能顺利完成</w:t>
      </w:r>
      <w:r>
        <w:rPr>
          <w:rFonts w:hint="eastAsia" w:asciiTheme="minorHAnsi" w:hAnsiTheme="minorHAnsi" w:eastAsiaTheme="majorEastAsia" w:cstheme="minorHAnsi"/>
          <w:szCs w:val="21"/>
        </w:rPr>
        <w:t>海外</w:t>
      </w:r>
      <w:r>
        <w:rPr>
          <w:rFonts w:asciiTheme="minorHAnsi" w:hAnsiTheme="minorHAnsi" w:eastAsiaTheme="majorEastAsia" w:cstheme="minorHAnsi"/>
          <w:szCs w:val="21"/>
        </w:rPr>
        <w:t>学习任务；</w:t>
      </w:r>
    </w:p>
    <w:p>
      <w:pPr>
        <w:pStyle w:val="19"/>
        <w:numPr>
          <w:ilvl w:val="0"/>
          <w:numId w:val="6"/>
        </w:numPr>
        <w:spacing w:line="360" w:lineRule="auto"/>
        <w:ind w:hanging="136"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英语要求：</w:t>
      </w:r>
      <w:r>
        <w:rPr>
          <w:rFonts w:asciiTheme="minorHAnsi" w:hAnsiTheme="minorHAnsi" w:eastAsiaTheme="majorEastAsia" w:cstheme="minorHAnsi"/>
          <w:szCs w:val="21"/>
        </w:rPr>
        <w:t>具有良好的英语基础</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入学参加昆士兰大学语言分级测试</w:t>
      </w:r>
      <w:r>
        <w:rPr>
          <w:rFonts w:hint="eastAsia" w:asciiTheme="minorHAnsi" w:hAnsiTheme="minorHAnsi" w:eastAsiaTheme="majorEastAsia" w:cstheme="minorHAnsi"/>
          <w:szCs w:val="21"/>
        </w:rPr>
        <w:t>；</w:t>
      </w:r>
      <w:r>
        <w:rPr>
          <w:rFonts w:asciiTheme="minorHAnsi" w:hAnsiTheme="minorHAnsi" w:eastAsiaTheme="majorEastAsia" w:cstheme="minorHAnsi"/>
          <w:szCs w:val="21"/>
        </w:rPr>
        <w:br w:type="textWrapping"/>
      </w:r>
      <w:r>
        <w:rPr>
          <w:rFonts w:hint="eastAsia" w:asciiTheme="minorHAnsi" w:hAnsiTheme="minorHAnsi" w:eastAsiaTheme="majorEastAsia" w:cstheme="minorHAnsi"/>
          <w:szCs w:val="21"/>
        </w:rPr>
        <w:t>“国际商务沟通英语”需达到托福56（口语15，听力12）、或雅思5.0（单项不低于5.0）、或在分级测试中达到通用英语5级水平；</w:t>
      </w:r>
      <w:r>
        <w:rPr>
          <w:rFonts w:asciiTheme="minorHAnsi" w:hAnsiTheme="minorHAnsi" w:eastAsiaTheme="majorEastAsia" w:cstheme="minorHAnsi"/>
          <w:szCs w:val="21"/>
        </w:rPr>
        <w:br w:type="textWrapping"/>
      </w:r>
      <w:r>
        <w:rPr>
          <w:rFonts w:hint="eastAsia" w:asciiTheme="minorHAnsi" w:hAnsiTheme="minorHAnsi" w:eastAsiaTheme="majorEastAsia" w:cstheme="minorHAnsi"/>
          <w:szCs w:val="21"/>
        </w:rPr>
        <w:t>“学术英语”需达到托福56（口语15，听力12、阅读12，写作17）、或雅思5.0 （单项不低于5.0）、或在分级测试中达到通用英语5级水平；</w:t>
      </w:r>
      <w:r>
        <w:rPr>
          <w:rFonts w:asciiTheme="minorHAnsi" w:hAnsiTheme="minorHAnsi" w:eastAsiaTheme="majorEastAsia" w:cstheme="minorHAnsi"/>
          <w:szCs w:val="21"/>
        </w:rPr>
        <w:br w:type="textWrapping"/>
      </w:r>
      <w:r>
        <w:rPr>
          <w:rFonts w:hint="eastAsia" w:asciiTheme="minorHAnsi" w:hAnsiTheme="minorHAnsi" w:eastAsiaTheme="majorEastAsia" w:cstheme="minorHAnsi"/>
          <w:szCs w:val="21"/>
        </w:rPr>
        <w:t>注：如学生不具备托福雅思成绩，但在入学测试中达到国际商务沟通英语或学术英语所要求的级别，需要在项目开始的第一周向昆大语言中心学术经理提出申请并征得同意后，方可转入国际商务沟通英语或学术英语课程，否则仍将入读通用英语课程；</w:t>
      </w:r>
    </w:p>
    <w:p>
      <w:pPr>
        <w:pStyle w:val="19"/>
        <w:numPr>
          <w:ilvl w:val="0"/>
          <w:numId w:val="6"/>
        </w:numPr>
        <w:spacing w:line="360" w:lineRule="auto"/>
        <w:ind w:hanging="136" w:firstLineChars="0"/>
        <w:rPr>
          <w:rFonts w:asciiTheme="minorHAnsi" w:hAnsiTheme="minorHAnsi" w:eastAsiaTheme="majorEastAsia" w:cstheme="minorHAnsi"/>
          <w:szCs w:val="21"/>
        </w:rPr>
      </w:pPr>
      <w:r>
        <w:rPr>
          <w:rFonts w:asciiTheme="minorHAnsi" w:hAnsiTheme="minorHAnsi" w:eastAsiaTheme="majorEastAsia" w:cstheme="minorHAnsi"/>
          <w:szCs w:val="21"/>
        </w:rPr>
        <w:t>家庭具有一定经济基础，能够提供访学所需学费及生活费；</w:t>
      </w:r>
    </w:p>
    <w:p>
      <w:pPr>
        <w:pStyle w:val="19"/>
        <w:numPr>
          <w:ilvl w:val="0"/>
          <w:numId w:val="6"/>
        </w:numPr>
        <w:spacing w:line="360" w:lineRule="auto"/>
        <w:ind w:hanging="136" w:firstLineChars="0"/>
        <w:rPr>
          <w:rFonts w:asciiTheme="minorHAnsi" w:hAnsiTheme="minorHAnsi" w:eastAsiaTheme="majorEastAsia" w:cstheme="minorHAnsi"/>
          <w:szCs w:val="21"/>
        </w:rPr>
      </w:pPr>
      <w:r>
        <w:rPr>
          <w:rFonts w:asciiTheme="minorHAnsi" w:hAnsiTheme="minorHAnsi" w:eastAsiaTheme="majorEastAsia" w:cstheme="minorHAnsi"/>
          <w:szCs w:val="21"/>
        </w:rPr>
        <w:t>通过全美国际教育协会的项目面试、</w:t>
      </w:r>
      <w:r>
        <w:rPr>
          <w:rFonts w:hint="eastAsia" w:asciiTheme="minorHAnsi" w:hAnsiTheme="minorHAnsi" w:eastAsiaTheme="majorEastAsia" w:cstheme="minorHAnsi"/>
          <w:szCs w:val="21"/>
        </w:rPr>
        <w:t>澳方</w:t>
      </w:r>
      <w:r>
        <w:rPr>
          <w:rFonts w:asciiTheme="minorHAnsi" w:hAnsiTheme="minorHAnsi" w:eastAsiaTheme="majorEastAsia" w:cstheme="minorHAnsi"/>
          <w:szCs w:val="21"/>
        </w:rPr>
        <w:t>大学的学术审核、以及我校院系及国际交流处的派出资格审核。</w:t>
      </w:r>
    </w:p>
    <w:p>
      <w:pPr>
        <w:pStyle w:val="19"/>
        <w:numPr>
          <w:ilvl w:val="0"/>
          <w:numId w:val="5"/>
        </w:numPr>
        <w:spacing w:line="360" w:lineRule="auto"/>
        <w:ind w:firstLineChars="0"/>
        <w:rPr>
          <w:rFonts w:asciiTheme="minorHAnsi" w:hAnsiTheme="minorHAnsi" w:eastAsiaTheme="majorEastAsia" w:cstheme="minorHAnsi"/>
          <w:b/>
          <w:kern w:val="0"/>
          <w:szCs w:val="21"/>
        </w:rPr>
      </w:pPr>
      <w:r>
        <w:rPr>
          <w:rFonts w:asciiTheme="minorHAnsi" w:hAnsiTheme="minorHAnsi" w:eastAsiaTheme="majorEastAsia" w:cstheme="minorHAnsi"/>
          <w:b/>
          <w:kern w:val="0"/>
          <w:szCs w:val="21"/>
        </w:rPr>
        <w:t>项目申请录取方式和报名流程</w:t>
      </w:r>
    </w:p>
    <w:p>
      <w:pPr>
        <w:spacing w:line="360" w:lineRule="auto"/>
        <w:ind w:firstLine="283" w:firstLineChars="135"/>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1） 学生</w:t>
      </w:r>
      <w:r>
        <w:rPr>
          <w:rFonts w:asciiTheme="minorHAnsi" w:hAnsiTheme="minorHAnsi" w:eastAsiaTheme="majorEastAsia" w:cstheme="minorHAnsi"/>
          <w:kern w:val="0"/>
          <w:szCs w:val="21"/>
        </w:rPr>
        <w:t>本人提出申请，</w:t>
      </w:r>
      <w:r>
        <w:rPr>
          <w:rFonts w:hint="eastAsia" w:asciiTheme="minorHAnsi" w:hAnsiTheme="minorHAnsi" w:eastAsiaTheme="majorEastAsia" w:cstheme="minorHAnsi"/>
          <w:kern w:val="0"/>
          <w:szCs w:val="21"/>
        </w:rPr>
        <w:t>在</w:t>
      </w:r>
      <w:r>
        <w:rPr>
          <w:rFonts w:asciiTheme="minorHAnsi" w:hAnsiTheme="minorHAnsi" w:eastAsiaTheme="majorEastAsia" w:cstheme="minorHAnsi"/>
          <w:kern w:val="0"/>
          <w:szCs w:val="21"/>
        </w:rPr>
        <w:t>学校国际合作交流处（外事处）报名；</w:t>
      </w:r>
    </w:p>
    <w:p>
      <w:pPr>
        <w:spacing w:line="360" w:lineRule="auto"/>
        <w:ind w:left="281" w:leftChars="134"/>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2） 同时登录项目选拔管理机构 -- 全美国际教育协会网站www.usiea.org填写《世界名校访学2019-2020学年冬春项目报名表》，网上报名的时间决定录取的顺序和安排宿舍的顺序</w:t>
      </w:r>
      <w:r>
        <w:rPr>
          <w:rFonts w:asciiTheme="minorHAnsi" w:hAnsiTheme="minorHAnsi" w:eastAsiaTheme="majorEastAsia" w:cstheme="minorHAnsi"/>
          <w:szCs w:val="21"/>
        </w:rPr>
        <w:t>；</w:t>
      </w:r>
    </w:p>
    <w:p>
      <w:pPr>
        <w:pStyle w:val="19"/>
        <w:numPr>
          <w:ilvl w:val="0"/>
          <w:numId w:val="7"/>
        </w:numPr>
        <w:spacing w:line="360" w:lineRule="auto"/>
        <w:ind w:firstLineChars="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 xml:space="preserve"> 学生申请资料经初步审核后，参加面试确定预录取名单</w:t>
      </w:r>
      <w:r>
        <w:rPr>
          <w:rFonts w:asciiTheme="minorHAnsi" w:hAnsiTheme="minorHAnsi" w:eastAsiaTheme="majorEastAsia" w:cstheme="minorHAnsi"/>
          <w:szCs w:val="21"/>
        </w:rPr>
        <w:t>；</w:t>
      </w:r>
    </w:p>
    <w:p>
      <w:pPr>
        <w:pStyle w:val="19"/>
        <w:numPr>
          <w:ilvl w:val="0"/>
          <w:numId w:val="7"/>
        </w:numPr>
        <w:spacing w:line="360" w:lineRule="auto"/>
        <w:ind w:firstLineChars="0"/>
        <w:jc w:val="left"/>
        <w:rPr>
          <w:rFonts w:ascii="Calibri" w:hAnsi="Calibri" w:cs="Calibri"/>
          <w:sz w:val="22"/>
        </w:rPr>
      </w:pPr>
      <w:r>
        <w:rPr>
          <w:rFonts w:ascii="Calibri" w:hAnsi="Calibri" w:cs="Calibri"/>
          <w:sz w:val="22"/>
        </w:rPr>
        <w:t>学生提交正式申请材料并缴纳项目费用，获得学校录取及签证后赴</w:t>
      </w:r>
      <w:r>
        <w:rPr>
          <w:rFonts w:hint="eastAsia" w:ascii="Calibri" w:hAnsi="Calibri" w:cs="Calibri"/>
          <w:sz w:val="22"/>
        </w:rPr>
        <w:t>澳</w:t>
      </w:r>
      <w:r>
        <w:rPr>
          <w:rFonts w:ascii="Calibri" w:hAnsi="Calibri" w:cs="Calibri"/>
          <w:sz w:val="22"/>
        </w:rPr>
        <w:t>学习</w:t>
      </w:r>
      <w:r>
        <w:rPr>
          <w:rFonts w:hint="eastAsia" w:ascii="Calibri" w:hAnsi="Calibri" w:cs="Calibri"/>
          <w:sz w:val="22"/>
        </w:rPr>
        <w:t>；</w:t>
      </w:r>
    </w:p>
    <w:p>
      <w:pPr>
        <w:pStyle w:val="19"/>
        <w:spacing w:line="360" w:lineRule="auto"/>
        <w:ind w:left="281" w:firstLine="0" w:firstLineChars="0"/>
        <w:jc w:val="left"/>
        <w:rPr>
          <w:rFonts w:ascii="Calibri" w:hAnsi="Calibri" w:cs="Calibri"/>
          <w:sz w:val="22"/>
        </w:rPr>
      </w:pPr>
    </w:p>
    <w:p>
      <w:pPr>
        <w:widowControl/>
        <w:spacing w:line="360" w:lineRule="auto"/>
        <w:jc w:val="left"/>
        <w:rPr>
          <w:rStyle w:val="14"/>
          <w:rFonts w:cs="宋体" w:asciiTheme="minorHAnsi" w:hAnsiTheme="minorHAnsi"/>
          <w:color w:val="auto"/>
          <w:kern w:val="0"/>
          <w:szCs w:val="21"/>
        </w:rPr>
      </w:pPr>
      <w:r>
        <w:rPr>
          <w:rStyle w:val="14"/>
          <w:rFonts w:hint="eastAsia" w:cs="宋体" w:asciiTheme="minorHAnsi" w:hAnsiTheme="minorHAnsi"/>
          <w:color w:val="auto"/>
          <w:kern w:val="0"/>
          <w:szCs w:val="21"/>
        </w:rPr>
        <w:t>———————————————————————————————————————</w:t>
      </w:r>
    </w:p>
    <w:p>
      <w:pPr>
        <w:widowControl/>
        <w:jc w:val="left"/>
        <w:rPr>
          <w:rStyle w:val="14"/>
          <w:rFonts w:cs="宋体" w:asciiTheme="minorHAnsi" w:hAnsiTheme="minorHAnsi"/>
          <w:b/>
          <w:color w:val="auto"/>
          <w:kern w:val="0"/>
          <w:sz w:val="20"/>
          <w:szCs w:val="21"/>
        </w:rPr>
      </w:pPr>
      <w:r>
        <w:rPr>
          <w:rStyle w:val="14"/>
          <w:rFonts w:hint="eastAsia" w:cs="宋体" w:asciiTheme="minorHAnsi" w:hAnsiTheme="minorHAnsi"/>
          <w:b/>
          <w:color w:val="auto"/>
          <w:kern w:val="0"/>
          <w:sz w:val="20"/>
          <w:szCs w:val="21"/>
        </w:rPr>
        <w:t>关于全美国际教育协会</w:t>
      </w:r>
    </w:p>
    <w:p>
      <w:pPr>
        <w:widowControl/>
        <w:jc w:val="left"/>
        <w:rPr>
          <w:rStyle w:val="14"/>
          <w:rFonts w:cs="宋体" w:asciiTheme="minorHAnsi" w:hAnsiTheme="minorHAnsi"/>
          <w:b/>
          <w:color w:val="auto"/>
          <w:kern w:val="0"/>
          <w:sz w:val="20"/>
          <w:szCs w:val="21"/>
        </w:rPr>
      </w:pPr>
      <w:r>
        <w:fldChar w:fldCharType="begin"/>
      </w:r>
      <w:r>
        <w:instrText xml:space="preserve"> HYPERLINK "http://www.usiea.org" </w:instrText>
      </w:r>
      <w:r>
        <w:fldChar w:fldCharType="separate"/>
      </w:r>
      <w:r>
        <w:rPr>
          <w:rStyle w:val="14"/>
          <w:rFonts w:hint="eastAsia" w:cs="宋体" w:asciiTheme="minorHAnsi" w:hAnsiTheme="minorHAnsi"/>
          <w:b/>
          <w:kern w:val="0"/>
          <w:sz w:val="20"/>
          <w:szCs w:val="21"/>
        </w:rPr>
        <w:t>www.usiea.org</w:t>
      </w:r>
      <w:r>
        <w:rPr>
          <w:rStyle w:val="14"/>
          <w:rFonts w:hint="eastAsia" w:cs="宋体" w:asciiTheme="minorHAnsi" w:hAnsiTheme="minorHAnsi"/>
          <w:b/>
          <w:kern w:val="0"/>
          <w:sz w:val="20"/>
          <w:szCs w:val="21"/>
        </w:rPr>
        <w:fldChar w:fldCharType="end"/>
      </w:r>
    </w:p>
    <w:p>
      <w:pPr>
        <w:widowControl/>
        <w:jc w:val="left"/>
        <w:rPr>
          <w:rStyle w:val="14"/>
          <w:rFonts w:cs="宋体" w:asciiTheme="minorHAnsi" w:hAnsiTheme="minorHAnsi"/>
          <w:b/>
          <w:color w:val="auto"/>
          <w:kern w:val="0"/>
          <w:sz w:val="20"/>
          <w:szCs w:val="21"/>
        </w:rPr>
      </w:pPr>
    </w:p>
    <w:p>
      <w:pPr>
        <w:widowControl/>
        <w:jc w:val="left"/>
        <w:rPr>
          <w:rStyle w:val="14"/>
          <w:rFonts w:cs="宋体" w:asciiTheme="minorHAnsi" w:hAnsiTheme="minorHAnsi"/>
          <w:color w:val="auto"/>
          <w:kern w:val="0"/>
          <w:sz w:val="20"/>
          <w:szCs w:val="21"/>
        </w:rPr>
      </w:pPr>
      <w:r>
        <w:rPr>
          <w:rStyle w:val="14"/>
          <w:rFonts w:hint="eastAsia" w:cs="宋体" w:asciiTheme="minorHAnsi" w:hAnsiTheme="minorHAnsi"/>
          <w:color w:val="auto"/>
          <w:kern w:val="0"/>
          <w:sz w:val="20"/>
          <w:szCs w:val="21"/>
        </w:rPr>
        <w:t>US International Education Association全美国际教育协会是在美国注册的非营利机构，旨在通过与中外高校的合作，为每一位大学生提供高品质的世界名校访学机会，共同培养具备全球胜任力的优秀大学生，促进不同文化间的沟通、理解与合作。</w:t>
      </w:r>
    </w:p>
    <w:p>
      <w:pPr>
        <w:widowControl/>
        <w:jc w:val="left"/>
        <w:rPr>
          <w:rFonts w:cs="宋体" w:asciiTheme="minorHAnsi" w:hAnsiTheme="minorHAnsi"/>
          <w:kern w:val="0"/>
          <w:sz w:val="20"/>
          <w:szCs w:val="21"/>
        </w:rPr>
      </w:pPr>
    </w:p>
    <w:p>
      <w:pPr>
        <w:widowControl/>
        <w:jc w:val="left"/>
        <w:rPr>
          <w:rFonts w:cs="宋体" w:asciiTheme="minorHAnsi" w:hAnsiTheme="minorHAnsi"/>
          <w:kern w:val="0"/>
          <w:sz w:val="20"/>
          <w:szCs w:val="21"/>
        </w:rPr>
      </w:pPr>
      <w:r>
        <w:rPr>
          <w:rFonts w:hint="eastAsia" w:cs="宋体" w:asciiTheme="minorHAnsi" w:hAnsiTheme="minorHAnsi"/>
          <w:kern w:val="0"/>
          <w:sz w:val="20"/>
          <w:szCs w:val="21"/>
        </w:rPr>
        <w:t>全美国际教育协会受美国宾夕法尼亚大学、哥伦比亚大学、波士顿大学、威斯康星大学麦迪逊分校、加州大学伯克利分校、加州大学圣地亚哥分校、加州大学河滨分校、英国剑桥大学、伦敦政治经济学院、加拿大多伦多大学、麦吉尔大学、英属哥伦比亚大学、澳大利亚昆士兰大学、新南威尔士大学、阿德莱德大学等20多所世界级名校的委托，与中国80多所高校合作选拔品学兼优的学生赴海外参加访学项目。</w:t>
      </w:r>
    </w:p>
    <w:p>
      <w:pPr>
        <w:widowControl/>
        <w:jc w:val="left"/>
        <w:rPr>
          <w:rFonts w:cs="宋体" w:asciiTheme="minorHAnsi" w:hAnsiTheme="minorHAnsi"/>
          <w:kern w:val="0"/>
          <w:sz w:val="20"/>
          <w:szCs w:val="21"/>
        </w:rPr>
      </w:pPr>
    </w:p>
    <w:p>
      <w:pPr>
        <w:widowControl/>
        <w:jc w:val="left"/>
        <w:rPr>
          <w:rFonts w:cs="宋体" w:asciiTheme="minorHAnsi" w:hAnsiTheme="minorHAnsi"/>
          <w:kern w:val="0"/>
          <w:sz w:val="20"/>
          <w:szCs w:val="21"/>
        </w:rPr>
      </w:pPr>
      <w:r>
        <w:rPr>
          <w:rFonts w:hint="eastAsia" w:cs="宋体" w:asciiTheme="minorHAnsi" w:hAnsiTheme="minorHAnsi"/>
          <w:kern w:val="0"/>
          <w:sz w:val="20"/>
          <w:szCs w:val="21"/>
        </w:rPr>
        <w:t>全美国际教育协会在北京、南京、杭州、广州、西安、成都、郑州设有办公室，为中国合作高校和学生提供与访学项目相关的全流程服务。</w:t>
      </w:r>
    </w:p>
    <w:p>
      <w:pPr>
        <w:spacing w:line="360" w:lineRule="auto"/>
        <w:ind w:left="360"/>
        <w:rPr>
          <w:rFonts w:asciiTheme="minorHAnsi" w:hAnsiTheme="minorHAnsi" w:eastAsiaTheme="majorEastAsia" w:cstheme="minorHAnsi"/>
          <w:szCs w:val="21"/>
        </w:rPr>
      </w:pPr>
    </w:p>
    <w:p>
      <w:pPr>
        <w:spacing w:line="360" w:lineRule="auto"/>
        <w:rPr>
          <w:rFonts w:cs="Calibri" w:asciiTheme="minorHAnsi" w:hAnsiTheme="minorHAnsi"/>
          <w:kern w:val="0"/>
          <w:sz w:val="22"/>
        </w:rPr>
      </w:pPr>
      <w:r>
        <w:rPr>
          <w:rFonts w:cs="宋体" w:asciiTheme="minorHAnsi" w:hAnsiTheme="minorHAnsi"/>
          <w:kern w:val="0"/>
          <w:sz w:val="20"/>
          <w:szCs w:val="21"/>
        </w:rPr>
        <w:t>全美国际教育协会官网：</w:t>
      </w:r>
      <w:r>
        <w:fldChar w:fldCharType="begin"/>
      </w:r>
      <w:r>
        <w:instrText xml:space="preserve"> HYPERLINK "http://www.usiea.org" </w:instrText>
      </w:r>
      <w:r>
        <w:fldChar w:fldCharType="separate"/>
      </w:r>
      <w:r>
        <w:rPr>
          <w:rFonts w:cs="Calibri" w:asciiTheme="minorHAnsi" w:hAnsiTheme="minorHAnsi"/>
          <w:color w:val="0068B7"/>
          <w:kern w:val="0"/>
          <w:sz w:val="22"/>
        </w:rPr>
        <w:t>www.usiea.org</w:t>
      </w:r>
      <w:r>
        <w:rPr>
          <w:rFonts w:cs="Calibri" w:asciiTheme="minorHAnsi" w:hAnsiTheme="minorHAnsi"/>
          <w:color w:val="0068B7"/>
          <w:kern w:val="0"/>
          <w:sz w:val="22"/>
        </w:rPr>
        <w:fldChar w:fldCharType="end"/>
      </w:r>
      <w:r>
        <w:rPr>
          <w:rFonts w:cs="Calibri" w:asciiTheme="minorHAnsi" w:hAnsiTheme="minorHAnsi"/>
          <w:kern w:val="0"/>
          <w:sz w:val="22"/>
        </w:rPr>
        <w:t xml:space="preserve"> </w:t>
      </w:r>
    </w:p>
    <w:p>
      <w:pPr>
        <w:spacing w:line="360" w:lineRule="auto"/>
        <w:rPr>
          <w:rFonts w:cs="宋体" w:asciiTheme="minorHAnsi" w:hAnsiTheme="minorHAnsi"/>
          <w:kern w:val="0"/>
          <w:sz w:val="20"/>
          <w:szCs w:val="21"/>
        </w:rPr>
      </w:pPr>
      <w:r>
        <w:rPr>
          <w:rFonts w:cs="宋体" w:asciiTheme="minorHAnsi" w:hAnsiTheme="minorHAnsi"/>
          <w:kern w:val="0"/>
          <w:sz w:val="20"/>
          <w:szCs w:val="21"/>
        </w:rPr>
        <w:t>全美国际教育协会官微：全美国际访学微刊</w:t>
      </w:r>
    </w:p>
    <w:p>
      <w:pPr>
        <w:widowControl/>
        <w:spacing w:line="360" w:lineRule="auto"/>
        <w:jc w:val="left"/>
        <w:rPr>
          <w:rFonts w:cs="Calibri" w:asciiTheme="minorHAnsi" w:hAnsiTheme="minorHAnsi"/>
          <w:kern w:val="0"/>
          <w:sz w:val="22"/>
        </w:rPr>
      </w:pPr>
      <w:r>
        <w:rPr>
          <w:rFonts w:cs="宋体" w:asciiTheme="minorHAnsi" w:hAnsiTheme="minorHAnsi"/>
          <w:kern w:val="0"/>
          <w:sz w:val="20"/>
          <w:szCs w:val="21"/>
        </w:rPr>
        <w:t>项目邮箱咨询：</w:t>
      </w:r>
      <w:r>
        <w:fldChar w:fldCharType="begin"/>
      </w:r>
      <w:r>
        <w:instrText xml:space="preserve"> HYPERLINK "mailto:visituq@yeah.net" </w:instrText>
      </w:r>
      <w:r>
        <w:fldChar w:fldCharType="separate"/>
      </w:r>
      <w:r>
        <w:rPr>
          <w:rStyle w:val="14"/>
          <w:rFonts w:hint="eastAsia" w:ascii="微软雅黑" w:hAnsi="微软雅黑" w:eastAsia="微软雅黑"/>
          <w:sz w:val="20"/>
          <w:szCs w:val="20"/>
          <w:shd w:val="clear" w:color="auto" w:fill="FFFFFF"/>
        </w:rPr>
        <w:t>visituq@yeah.net</w:t>
      </w:r>
      <w:r>
        <w:rPr>
          <w:rStyle w:val="14"/>
          <w:rFonts w:hint="eastAsia" w:ascii="微软雅黑" w:hAnsi="微软雅黑" w:eastAsia="微软雅黑"/>
          <w:sz w:val="20"/>
          <w:szCs w:val="20"/>
          <w:shd w:val="clear" w:color="auto" w:fill="FFFFFF"/>
        </w:rPr>
        <w:fldChar w:fldCharType="end"/>
      </w:r>
      <w:r>
        <w:rPr>
          <w:rFonts w:asciiTheme="minorHAnsi" w:hAnsiTheme="minorHAnsi"/>
        </w:rPr>
        <w:t xml:space="preserve"> </w:t>
      </w:r>
    </w:p>
    <w:sectPr>
      <w:headerReference r:id="rId3" w:type="default"/>
      <w:pgSz w:w="11906" w:h="16838"/>
      <w:pgMar w:top="2025"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D6311"/>
    <w:multiLevelType w:val="multilevel"/>
    <w:tmpl w:val="154D6311"/>
    <w:lvl w:ilvl="0" w:tentative="0">
      <w:start w:val="3"/>
      <w:numFmt w:val="decimal"/>
      <w:lvlText w:val="%1）"/>
      <w:lvlJc w:val="left"/>
      <w:pPr>
        <w:ind w:left="641" w:hanging="360"/>
      </w:pPr>
      <w:rPr>
        <w:rFonts w:hint="default"/>
      </w:rPr>
    </w:lvl>
    <w:lvl w:ilvl="1" w:tentative="0">
      <w:start w:val="1"/>
      <w:numFmt w:val="lowerLetter"/>
      <w:lvlText w:val="%2)"/>
      <w:lvlJc w:val="left"/>
      <w:pPr>
        <w:ind w:left="1121" w:hanging="420"/>
      </w:pPr>
    </w:lvl>
    <w:lvl w:ilvl="2" w:tentative="0">
      <w:start w:val="1"/>
      <w:numFmt w:val="lowerRoman"/>
      <w:lvlText w:val="%3."/>
      <w:lvlJc w:val="right"/>
      <w:pPr>
        <w:ind w:left="1541" w:hanging="420"/>
      </w:pPr>
    </w:lvl>
    <w:lvl w:ilvl="3" w:tentative="0">
      <w:start w:val="1"/>
      <w:numFmt w:val="decimal"/>
      <w:lvlText w:val="%4."/>
      <w:lvlJc w:val="left"/>
      <w:pPr>
        <w:ind w:left="1961" w:hanging="420"/>
      </w:pPr>
    </w:lvl>
    <w:lvl w:ilvl="4" w:tentative="0">
      <w:start w:val="1"/>
      <w:numFmt w:val="lowerLetter"/>
      <w:lvlText w:val="%5)"/>
      <w:lvlJc w:val="left"/>
      <w:pPr>
        <w:ind w:left="2381" w:hanging="420"/>
      </w:pPr>
    </w:lvl>
    <w:lvl w:ilvl="5" w:tentative="0">
      <w:start w:val="1"/>
      <w:numFmt w:val="lowerRoman"/>
      <w:lvlText w:val="%6."/>
      <w:lvlJc w:val="right"/>
      <w:pPr>
        <w:ind w:left="2801" w:hanging="420"/>
      </w:pPr>
    </w:lvl>
    <w:lvl w:ilvl="6" w:tentative="0">
      <w:start w:val="1"/>
      <w:numFmt w:val="decimal"/>
      <w:lvlText w:val="%7."/>
      <w:lvlJc w:val="left"/>
      <w:pPr>
        <w:ind w:left="3221" w:hanging="420"/>
      </w:pPr>
    </w:lvl>
    <w:lvl w:ilvl="7" w:tentative="0">
      <w:start w:val="1"/>
      <w:numFmt w:val="lowerLetter"/>
      <w:lvlText w:val="%8)"/>
      <w:lvlJc w:val="left"/>
      <w:pPr>
        <w:ind w:left="3641" w:hanging="420"/>
      </w:pPr>
    </w:lvl>
    <w:lvl w:ilvl="8" w:tentative="0">
      <w:start w:val="1"/>
      <w:numFmt w:val="lowerRoman"/>
      <w:lvlText w:val="%9."/>
      <w:lvlJc w:val="right"/>
      <w:pPr>
        <w:ind w:left="4061" w:hanging="420"/>
      </w:pPr>
    </w:lvl>
  </w:abstractNum>
  <w:abstractNum w:abstractNumId="1">
    <w:nsid w:val="1FCA2FC4"/>
    <w:multiLevelType w:val="multilevel"/>
    <w:tmpl w:val="1FCA2FC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37270CB5"/>
    <w:multiLevelType w:val="multilevel"/>
    <w:tmpl w:val="37270CB5"/>
    <w:lvl w:ilvl="0" w:tentative="0">
      <w:start w:val="1"/>
      <w:numFmt w:val="japaneseCounting"/>
      <w:lvlText w:val="%1、"/>
      <w:lvlJc w:val="left"/>
      <w:pPr>
        <w:ind w:left="1260" w:hanging="4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394F4CFD"/>
    <w:multiLevelType w:val="multilevel"/>
    <w:tmpl w:val="394F4CFD"/>
    <w:lvl w:ilvl="0" w:tentative="0">
      <w:start w:val="3"/>
      <w:numFmt w:val="japaneseCounting"/>
      <w:lvlText w:val="%1、"/>
      <w:lvlJc w:val="left"/>
      <w:pPr>
        <w:ind w:left="440" w:hanging="440"/>
      </w:pPr>
      <w:rPr>
        <w:rFonts w:hint="default" w:eastAsia="宋体" w:cs="Calibr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EEB2FA3"/>
    <w:multiLevelType w:val="multilevel"/>
    <w:tmpl w:val="5EEB2FA3"/>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
    <w:nsid w:val="6B074A81"/>
    <w:multiLevelType w:val="multilevel"/>
    <w:tmpl w:val="6B074A8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7F013D8"/>
    <w:multiLevelType w:val="multilevel"/>
    <w:tmpl w:val="77F013D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8F"/>
    <w:rsid w:val="00002E62"/>
    <w:rsid w:val="000035D7"/>
    <w:rsid w:val="0000590A"/>
    <w:rsid w:val="00006712"/>
    <w:rsid w:val="000067A6"/>
    <w:rsid w:val="00010F31"/>
    <w:rsid w:val="000169DD"/>
    <w:rsid w:val="00020D7D"/>
    <w:rsid w:val="000224CC"/>
    <w:rsid w:val="00022AFD"/>
    <w:rsid w:val="000230BD"/>
    <w:rsid w:val="00023476"/>
    <w:rsid w:val="000236D2"/>
    <w:rsid w:val="00024C64"/>
    <w:rsid w:val="00025206"/>
    <w:rsid w:val="0003068E"/>
    <w:rsid w:val="00030A02"/>
    <w:rsid w:val="00031403"/>
    <w:rsid w:val="00032519"/>
    <w:rsid w:val="00033EED"/>
    <w:rsid w:val="0003431E"/>
    <w:rsid w:val="00035CA7"/>
    <w:rsid w:val="000362BD"/>
    <w:rsid w:val="00040016"/>
    <w:rsid w:val="000402B0"/>
    <w:rsid w:val="00040DF8"/>
    <w:rsid w:val="00041148"/>
    <w:rsid w:val="00041BDA"/>
    <w:rsid w:val="00044B87"/>
    <w:rsid w:val="00046229"/>
    <w:rsid w:val="000519A2"/>
    <w:rsid w:val="00051A3D"/>
    <w:rsid w:val="0005389A"/>
    <w:rsid w:val="00055B47"/>
    <w:rsid w:val="00060047"/>
    <w:rsid w:val="0006181E"/>
    <w:rsid w:val="00065242"/>
    <w:rsid w:val="00067D4B"/>
    <w:rsid w:val="000820F9"/>
    <w:rsid w:val="000840CC"/>
    <w:rsid w:val="000860BB"/>
    <w:rsid w:val="00087DB0"/>
    <w:rsid w:val="0009206E"/>
    <w:rsid w:val="000954F4"/>
    <w:rsid w:val="00097FB0"/>
    <w:rsid w:val="000A0A86"/>
    <w:rsid w:val="000A2A22"/>
    <w:rsid w:val="000A4030"/>
    <w:rsid w:val="000A4429"/>
    <w:rsid w:val="000A5251"/>
    <w:rsid w:val="000A5300"/>
    <w:rsid w:val="000B1A29"/>
    <w:rsid w:val="000B24CB"/>
    <w:rsid w:val="000C058A"/>
    <w:rsid w:val="000C0A27"/>
    <w:rsid w:val="000C2F7C"/>
    <w:rsid w:val="000C39EE"/>
    <w:rsid w:val="000C3F5B"/>
    <w:rsid w:val="000C4E56"/>
    <w:rsid w:val="000C5C18"/>
    <w:rsid w:val="000C7850"/>
    <w:rsid w:val="000C7F9A"/>
    <w:rsid w:val="000D1A58"/>
    <w:rsid w:val="000D3060"/>
    <w:rsid w:val="000D4BC5"/>
    <w:rsid w:val="000E1209"/>
    <w:rsid w:val="000E192A"/>
    <w:rsid w:val="000E5365"/>
    <w:rsid w:val="000E71FC"/>
    <w:rsid w:val="000E7915"/>
    <w:rsid w:val="000F10F6"/>
    <w:rsid w:val="000F140D"/>
    <w:rsid w:val="000F168E"/>
    <w:rsid w:val="000F253C"/>
    <w:rsid w:val="000F6E7C"/>
    <w:rsid w:val="001013E1"/>
    <w:rsid w:val="001014E7"/>
    <w:rsid w:val="0010196F"/>
    <w:rsid w:val="001051AF"/>
    <w:rsid w:val="00106BA3"/>
    <w:rsid w:val="001073FA"/>
    <w:rsid w:val="00107687"/>
    <w:rsid w:val="00110B1F"/>
    <w:rsid w:val="00110EDA"/>
    <w:rsid w:val="0011231F"/>
    <w:rsid w:val="00112B60"/>
    <w:rsid w:val="00112EFC"/>
    <w:rsid w:val="001131EA"/>
    <w:rsid w:val="00116EF3"/>
    <w:rsid w:val="00120A5E"/>
    <w:rsid w:val="0012340B"/>
    <w:rsid w:val="0012488E"/>
    <w:rsid w:val="00124B0D"/>
    <w:rsid w:val="00125024"/>
    <w:rsid w:val="00125AEC"/>
    <w:rsid w:val="00127C1E"/>
    <w:rsid w:val="00127FE8"/>
    <w:rsid w:val="00131D30"/>
    <w:rsid w:val="00132BB5"/>
    <w:rsid w:val="00134011"/>
    <w:rsid w:val="001355A4"/>
    <w:rsid w:val="00135F93"/>
    <w:rsid w:val="0013632A"/>
    <w:rsid w:val="00137744"/>
    <w:rsid w:val="00143294"/>
    <w:rsid w:val="00146AB9"/>
    <w:rsid w:val="00147A3E"/>
    <w:rsid w:val="0016167D"/>
    <w:rsid w:val="00162E33"/>
    <w:rsid w:val="00167799"/>
    <w:rsid w:val="00167C8D"/>
    <w:rsid w:val="00170451"/>
    <w:rsid w:val="00173281"/>
    <w:rsid w:val="0017377D"/>
    <w:rsid w:val="001738F0"/>
    <w:rsid w:val="00175F78"/>
    <w:rsid w:val="00176F21"/>
    <w:rsid w:val="00182E04"/>
    <w:rsid w:val="001834A2"/>
    <w:rsid w:val="00183A23"/>
    <w:rsid w:val="00186190"/>
    <w:rsid w:val="00192C0F"/>
    <w:rsid w:val="001949FD"/>
    <w:rsid w:val="00195824"/>
    <w:rsid w:val="001A0C7A"/>
    <w:rsid w:val="001A2636"/>
    <w:rsid w:val="001A281F"/>
    <w:rsid w:val="001A7D56"/>
    <w:rsid w:val="001B1730"/>
    <w:rsid w:val="001B1DAA"/>
    <w:rsid w:val="001B2069"/>
    <w:rsid w:val="001B600B"/>
    <w:rsid w:val="001C1A51"/>
    <w:rsid w:val="001C6985"/>
    <w:rsid w:val="001D2C48"/>
    <w:rsid w:val="001D4042"/>
    <w:rsid w:val="001D458C"/>
    <w:rsid w:val="001D4EF4"/>
    <w:rsid w:val="001D74CC"/>
    <w:rsid w:val="001E31D7"/>
    <w:rsid w:val="001E321D"/>
    <w:rsid w:val="001E4F6C"/>
    <w:rsid w:val="001E5D98"/>
    <w:rsid w:val="001E6096"/>
    <w:rsid w:val="001F029D"/>
    <w:rsid w:val="001F49A8"/>
    <w:rsid w:val="001F5524"/>
    <w:rsid w:val="00201963"/>
    <w:rsid w:val="00202030"/>
    <w:rsid w:val="00203BFF"/>
    <w:rsid w:val="00206418"/>
    <w:rsid w:val="002133F2"/>
    <w:rsid w:val="00213D09"/>
    <w:rsid w:val="0021575D"/>
    <w:rsid w:val="0021711E"/>
    <w:rsid w:val="002202A8"/>
    <w:rsid w:val="00220DCA"/>
    <w:rsid w:val="00220E2D"/>
    <w:rsid w:val="002211FB"/>
    <w:rsid w:val="0022214B"/>
    <w:rsid w:val="00223F43"/>
    <w:rsid w:val="002274D9"/>
    <w:rsid w:val="00230EA2"/>
    <w:rsid w:val="0023347E"/>
    <w:rsid w:val="002379FF"/>
    <w:rsid w:val="00241555"/>
    <w:rsid w:val="002439C3"/>
    <w:rsid w:val="002441C6"/>
    <w:rsid w:val="0024447C"/>
    <w:rsid w:val="002449A1"/>
    <w:rsid w:val="0024592F"/>
    <w:rsid w:val="00251642"/>
    <w:rsid w:val="0025295F"/>
    <w:rsid w:val="00255140"/>
    <w:rsid w:val="00257563"/>
    <w:rsid w:val="00257E0D"/>
    <w:rsid w:val="00261406"/>
    <w:rsid w:val="00261C11"/>
    <w:rsid w:val="00270392"/>
    <w:rsid w:val="00271BCB"/>
    <w:rsid w:val="00271E4F"/>
    <w:rsid w:val="00272305"/>
    <w:rsid w:val="00272F97"/>
    <w:rsid w:val="00275270"/>
    <w:rsid w:val="0027600D"/>
    <w:rsid w:val="00276F0F"/>
    <w:rsid w:val="0028056A"/>
    <w:rsid w:val="002852EE"/>
    <w:rsid w:val="0029179F"/>
    <w:rsid w:val="00292326"/>
    <w:rsid w:val="00294DD3"/>
    <w:rsid w:val="00295361"/>
    <w:rsid w:val="00296348"/>
    <w:rsid w:val="00297E1A"/>
    <w:rsid w:val="002A1BDF"/>
    <w:rsid w:val="002A33E6"/>
    <w:rsid w:val="002A402F"/>
    <w:rsid w:val="002A795E"/>
    <w:rsid w:val="002B5C48"/>
    <w:rsid w:val="002B61DD"/>
    <w:rsid w:val="002B7076"/>
    <w:rsid w:val="002C2028"/>
    <w:rsid w:val="002C229B"/>
    <w:rsid w:val="002C27D4"/>
    <w:rsid w:val="002C3134"/>
    <w:rsid w:val="002C500D"/>
    <w:rsid w:val="002C5793"/>
    <w:rsid w:val="002C6AEB"/>
    <w:rsid w:val="002C722D"/>
    <w:rsid w:val="002D04D0"/>
    <w:rsid w:val="002D3409"/>
    <w:rsid w:val="002D76B2"/>
    <w:rsid w:val="002D7905"/>
    <w:rsid w:val="002D7B20"/>
    <w:rsid w:val="002E0797"/>
    <w:rsid w:val="002E1476"/>
    <w:rsid w:val="002E319D"/>
    <w:rsid w:val="002E3299"/>
    <w:rsid w:val="002E4985"/>
    <w:rsid w:val="002E4E6F"/>
    <w:rsid w:val="002E64CC"/>
    <w:rsid w:val="002F04E4"/>
    <w:rsid w:val="002F1A53"/>
    <w:rsid w:val="002F3568"/>
    <w:rsid w:val="002F37DA"/>
    <w:rsid w:val="002F5110"/>
    <w:rsid w:val="002F7AB9"/>
    <w:rsid w:val="0030157A"/>
    <w:rsid w:val="00302995"/>
    <w:rsid w:val="00303D3D"/>
    <w:rsid w:val="00314A41"/>
    <w:rsid w:val="00314B46"/>
    <w:rsid w:val="0031712B"/>
    <w:rsid w:val="0032092A"/>
    <w:rsid w:val="00321528"/>
    <w:rsid w:val="00321717"/>
    <w:rsid w:val="00321D5F"/>
    <w:rsid w:val="00330E7E"/>
    <w:rsid w:val="00330EF0"/>
    <w:rsid w:val="00332598"/>
    <w:rsid w:val="00333C15"/>
    <w:rsid w:val="00337023"/>
    <w:rsid w:val="003376C4"/>
    <w:rsid w:val="00342D9D"/>
    <w:rsid w:val="00342E7E"/>
    <w:rsid w:val="003440CB"/>
    <w:rsid w:val="00347B20"/>
    <w:rsid w:val="003504A0"/>
    <w:rsid w:val="00352A1D"/>
    <w:rsid w:val="00353816"/>
    <w:rsid w:val="00361CCF"/>
    <w:rsid w:val="00361F0C"/>
    <w:rsid w:val="00362047"/>
    <w:rsid w:val="00364A0C"/>
    <w:rsid w:val="00371B64"/>
    <w:rsid w:val="003738EA"/>
    <w:rsid w:val="00375491"/>
    <w:rsid w:val="0037672C"/>
    <w:rsid w:val="00376E91"/>
    <w:rsid w:val="003822A8"/>
    <w:rsid w:val="00383DCC"/>
    <w:rsid w:val="00386A4E"/>
    <w:rsid w:val="00386C51"/>
    <w:rsid w:val="00387362"/>
    <w:rsid w:val="00390C9A"/>
    <w:rsid w:val="00390FCA"/>
    <w:rsid w:val="00392494"/>
    <w:rsid w:val="00394A95"/>
    <w:rsid w:val="00396306"/>
    <w:rsid w:val="00397742"/>
    <w:rsid w:val="00397891"/>
    <w:rsid w:val="003A6BB9"/>
    <w:rsid w:val="003B07D0"/>
    <w:rsid w:val="003B4151"/>
    <w:rsid w:val="003B669C"/>
    <w:rsid w:val="003B7583"/>
    <w:rsid w:val="003B786E"/>
    <w:rsid w:val="003C6EF7"/>
    <w:rsid w:val="003D092D"/>
    <w:rsid w:val="003D0F7B"/>
    <w:rsid w:val="003D0FE9"/>
    <w:rsid w:val="003D1C70"/>
    <w:rsid w:val="003D2BCE"/>
    <w:rsid w:val="003D4037"/>
    <w:rsid w:val="003D4529"/>
    <w:rsid w:val="003D4B46"/>
    <w:rsid w:val="003D5F48"/>
    <w:rsid w:val="003E01B3"/>
    <w:rsid w:val="003E04B1"/>
    <w:rsid w:val="003E3199"/>
    <w:rsid w:val="003E5522"/>
    <w:rsid w:val="003E7DA0"/>
    <w:rsid w:val="003F050A"/>
    <w:rsid w:val="003F059B"/>
    <w:rsid w:val="003F50D1"/>
    <w:rsid w:val="003F5F88"/>
    <w:rsid w:val="00401B67"/>
    <w:rsid w:val="0040450B"/>
    <w:rsid w:val="0041273F"/>
    <w:rsid w:val="00417DFD"/>
    <w:rsid w:val="00421790"/>
    <w:rsid w:val="0042204E"/>
    <w:rsid w:val="00426325"/>
    <w:rsid w:val="00437A33"/>
    <w:rsid w:val="004469A3"/>
    <w:rsid w:val="0045270B"/>
    <w:rsid w:val="0045275F"/>
    <w:rsid w:val="00454C45"/>
    <w:rsid w:val="00455CF2"/>
    <w:rsid w:val="004576B0"/>
    <w:rsid w:val="004624BE"/>
    <w:rsid w:val="00465A92"/>
    <w:rsid w:val="004679CE"/>
    <w:rsid w:val="00470270"/>
    <w:rsid w:val="00471CBF"/>
    <w:rsid w:val="00472046"/>
    <w:rsid w:val="0048136E"/>
    <w:rsid w:val="00483DDF"/>
    <w:rsid w:val="00485AD1"/>
    <w:rsid w:val="00486AA5"/>
    <w:rsid w:val="00486B7F"/>
    <w:rsid w:val="004878DF"/>
    <w:rsid w:val="00492292"/>
    <w:rsid w:val="004932B6"/>
    <w:rsid w:val="004946E0"/>
    <w:rsid w:val="00495E6D"/>
    <w:rsid w:val="004A1602"/>
    <w:rsid w:val="004A51A8"/>
    <w:rsid w:val="004B49EE"/>
    <w:rsid w:val="004B4D89"/>
    <w:rsid w:val="004B516E"/>
    <w:rsid w:val="004C0796"/>
    <w:rsid w:val="004C0E26"/>
    <w:rsid w:val="004C343D"/>
    <w:rsid w:val="004C5277"/>
    <w:rsid w:val="004C6632"/>
    <w:rsid w:val="004D2423"/>
    <w:rsid w:val="004D314E"/>
    <w:rsid w:val="004D3884"/>
    <w:rsid w:val="004D5BA8"/>
    <w:rsid w:val="004D5BBA"/>
    <w:rsid w:val="004E0748"/>
    <w:rsid w:val="004E0AA6"/>
    <w:rsid w:val="004E1B9F"/>
    <w:rsid w:val="004E728E"/>
    <w:rsid w:val="004F002A"/>
    <w:rsid w:val="004F0AAB"/>
    <w:rsid w:val="004F23F6"/>
    <w:rsid w:val="004F25D0"/>
    <w:rsid w:val="004F47B7"/>
    <w:rsid w:val="004F743F"/>
    <w:rsid w:val="004F7C1B"/>
    <w:rsid w:val="00500A8F"/>
    <w:rsid w:val="005043E9"/>
    <w:rsid w:val="005060F9"/>
    <w:rsid w:val="005109DD"/>
    <w:rsid w:val="0051106C"/>
    <w:rsid w:val="00512BAE"/>
    <w:rsid w:val="00517DEB"/>
    <w:rsid w:val="00520C0E"/>
    <w:rsid w:val="0052189D"/>
    <w:rsid w:val="00522EAE"/>
    <w:rsid w:val="005250F2"/>
    <w:rsid w:val="00525703"/>
    <w:rsid w:val="005260BE"/>
    <w:rsid w:val="00527573"/>
    <w:rsid w:val="005326B5"/>
    <w:rsid w:val="005339BB"/>
    <w:rsid w:val="00534DE3"/>
    <w:rsid w:val="00535F08"/>
    <w:rsid w:val="00536454"/>
    <w:rsid w:val="00536F45"/>
    <w:rsid w:val="00537EE6"/>
    <w:rsid w:val="00540A0F"/>
    <w:rsid w:val="005447E3"/>
    <w:rsid w:val="00547E75"/>
    <w:rsid w:val="00555016"/>
    <w:rsid w:val="00556212"/>
    <w:rsid w:val="00557BD7"/>
    <w:rsid w:val="005606AC"/>
    <w:rsid w:val="00563F4C"/>
    <w:rsid w:val="00564768"/>
    <w:rsid w:val="005669D8"/>
    <w:rsid w:val="0057138A"/>
    <w:rsid w:val="00572B6E"/>
    <w:rsid w:val="00572E88"/>
    <w:rsid w:val="005762B0"/>
    <w:rsid w:val="00584716"/>
    <w:rsid w:val="005849E3"/>
    <w:rsid w:val="00584E4F"/>
    <w:rsid w:val="00584E6C"/>
    <w:rsid w:val="005868F6"/>
    <w:rsid w:val="00586D6C"/>
    <w:rsid w:val="0058733F"/>
    <w:rsid w:val="00587D18"/>
    <w:rsid w:val="00593143"/>
    <w:rsid w:val="00594449"/>
    <w:rsid w:val="00594C58"/>
    <w:rsid w:val="00596D1A"/>
    <w:rsid w:val="005A31F5"/>
    <w:rsid w:val="005A65C8"/>
    <w:rsid w:val="005A6A9F"/>
    <w:rsid w:val="005B2979"/>
    <w:rsid w:val="005B5847"/>
    <w:rsid w:val="005B5D60"/>
    <w:rsid w:val="005B69C2"/>
    <w:rsid w:val="005C272C"/>
    <w:rsid w:val="005C27A1"/>
    <w:rsid w:val="005C3BCA"/>
    <w:rsid w:val="005C67D4"/>
    <w:rsid w:val="005C77FB"/>
    <w:rsid w:val="005C7CC0"/>
    <w:rsid w:val="005D05E0"/>
    <w:rsid w:val="005D0683"/>
    <w:rsid w:val="005D2B29"/>
    <w:rsid w:val="005D50EF"/>
    <w:rsid w:val="005D51C2"/>
    <w:rsid w:val="005D6F09"/>
    <w:rsid w:val="005E035C"/>
    <w:rsid w:val="005E262D"/>
    <w:rsid w:val="005E56AB"/>
    <w:rsid w:val="005E5A41"/>
    <w:rsid w:val="005E674A"/>
    <w:rsid w:val="005E6E17"/>
    <w:rsid w:val="005E7EEC"/>
    <w:rsid w:val="005F3B25"/>
    <w:rsid w:val="005F6112"/>
    <w:rsid w:val="00602232"/>
    <w:rsid w:val="00606AA2"/>
    <w:rsid w:val="00606C4F"/>
    <w:rsid w:val="00607EE7"/>
    <w:rsid w:val="006107DC"/>
    <w:rsid w:val="0061228A"/>
    <w:rsid w:val="00617A76"/>
    <w:rsid w:val="00621ED0"/>
    <w:rsid w:val="00622238"/>
    <w:rsid w:val="00624BB2"/>
    <w:rsid w:val="006316FD"/>
    <w:rsid w:val="0063217A"/>
    <w:rsid w:val="00632329"/>
    <w:rsid w:val="006361BC"/>
    <w:rsid w:val="00636A3C"/>
    <w:rsid w:val="00637AD1"/>
    <w:rsid w:val="00642CD5"/>
    <w:rsid w:val="006452B3"/>
    <w:rsid w:val="00645792"/>
    <w:rsid w:val="006551A7"/>
    <w:rsid w:val="0065585D"/>
    <w:rsid w:val="00655B51"/>
    <w:rsid w:val="0066295A"/>
    <w:rsid w:val="00663035"/>
    <w:rsid w:val="00664055"/>
    <w:rsid w:val="00666CF9"/>
    <w:rsid w:val="00667457"/>
    <w:rsid w:val="00667A61"/>
    <w:rsid w:val="00670ED6"/>
    <w:rsid w:val="006712E6"/>
    <w:rsid w:val="00671702"/>
    <w:rsid w:val="00673E32"/>
    <w:rsid w:val="006740B4"/>
    <w:rsid w:val="00674734"/>
    <w:rsid w:val="0067541F"/>
    <w:rsid w:val="00676DF8"/>
    <w:rsid w:val="00684D38"/>
    <w:rsid w:val="006858D5"/>
    <w:rsid w:val="00687DBB"/>
    <w:rsid w:val="00696B1C"/>
    <w:rsid w:val="0069732D"/>
    <w:rsid w:val="006A2B5F"/>
    <w:rsid w:val="006A32C4"/>
    <w:rsid w:val="006A72B8"/>
    <w:rsid w:val="006B576E"/>
    <w:rsid w:val="006C127C"/>
    <w:rsid w:val="006C1F05"/>
    <w:rsid w:val="006C2070"/>
    <w:rsid w:val="006C4426"/>
    <w:rsid w:val="006C54FD"/>
    <w:rsid w:val="006C70AC"/>
    <w:rsid w:val="006D2C29"/>
    <w:rsid w:val="006D5B15"/>
    <w:rsid w:val="006D5C62"/>
    <w:rsid w:val="006D642C"/>
    <w:rsid w:val="006E3A9C"/>
    <w:rsid w:val="006F038D"/>
    <w:rsid w:val="006F3AA8"/>
    <w:rsid w:val="00700EA9"/>
    <w:rsid w:val="0070255A"/>
    <w:rsid w:val="0070385E"/>
    <w:rsid w:val="007045DC"/>
    <w:rsid w:val="00705BEF"/>
    <w:rsid w:val="00706179"/>
    <w:rsid w:val="007113DD"/>
    <w:rsid w:val="0071430B"/>
    <w:rsid w:val="00720659"/>
    <w:rsid w:val="0072201D"/>
    <w:rsid w:val="0072482C"/>
    <w:rsid w:val="00733292"/>
    <w:rsid w:val="0073607E"/>
    <w:rsid w:val="00736663"/>
    <w:rsid w:val="007370F3"/>
    <w:rsid w:val="007423FD"/>
    <w:rsid w:val="0074285A"/>
    <w:rsid w:val="00755EE3"/>
    <w:rsid w:val="00757990"/>
    <w:rsid w:val="00760C7A"/>
    <w:rsid w:val="007619AD"/>
    <w:rsid w:val="00762330"/>
    <w:rsid w:val="00762492"/>
    <w:rsid w:val="007640E0"/>
    <w:rsid w:val="007652B1"/>
    <w:rsid w:val="00770616"/>
    <w:rsid w:val="00770E19"/>
    <w:rsid w:val="00772E22"/>
    <w:rsid w:val="0077332B"/>
    <w:rsid w:val="00774257"/>
    <w:rsid w:val="00775505"/>
    <w:rsid w:val="00776AE1"/>
    <w:rsid w:val="00776C3B"/>
    <w:rsid w:val="00780093"/>
    <w:rsid w:val="00785B98"/>
    <w:rsid w:val="00785C31"/>
    <w:rsid w:val="007863D2"/>
    <w:rsid w:val="00793276"/>
    <w:rsid w:val="00793833"/>
    <w:rsid w:val="007968A7"/>
    <w:rsid w:val="007A01B4"/>
    <w:rsid w:val="007A03BE"/>
    <w:rsid w:val="007A07E5"/>
    <w:rsid w:val="007A136C"/>
    <w:rsid w:val="007A385D"/>
    <w:rsid w:val="007A3D2E"/>
    <w:rsid w:val="007A3E79"/>
    <w:rsid w:val="007A463F"/>
    <w:rsid w:val="007A5F86"/>
    <w:rsid w:val="007A7362"/>
    <w:rsid w:val="007B0667"/>
    <w:rsid w:val="007B5A17"/>
    <w:rsid w:val="007B648A"/>
    <w:rsid w:val="007B7729"/>
    <w:rsid w:val="007C2153"/>
    <w:rsid w:val="007C42BE"/>
    <w:rsid w:val="007C66DE"/>
    <w:rsid w:val="007D0768"/>
    <w:rsid w:val="007D224F"/>
    <w:rsid w:val="007D4624"/>
    <w:rsid w:val="007D62F3"/>
    <w:rsid w:val="007E0376"/>
    <w:rsid w:val="007E0C8A"/>
    <w:rsid w:val="007E0E50"/>
    <w:rsid w:val="007E1D53"/>
    <w:rsid w:val="007E3816"/>
    <w:rsid w:val="007E513A"/>
    <w:rsid w:val="007F085E"/>
    <w:rsid w:val="007F2B2E"/>
    <w:rsid w:val="007F50F2"/>
    <w:rsid w:val="007F5700"/>
    <w:rsid w:val="007F79E2"/>
    <w:rsid w:val="00802548"/>
    <w:rsid w:val="00802890"/>
    <w:rsid w:val="00802957"/>
    <w:rsid w:val="00802B47"/>
    <w:rsid w:val="00803F13"/>
    <w:rsid w:val="008052BF"/>
    <w:rsid w:val="008062A9"/>
    <w:rsid w:val="008105AE"/>
    <w:rsid w:val="00811B0B"/>
    <w:rsid w:val="00814AA6"/>
    <w:rsid w:val="008153A8"/>
    <w:rsid w:val="008160D4"/>
    <w:rsid w:val="008267EE"/>
    <w:rsid w:val="0083050D"/>
    <w:rsid w:val="00832E9B"/>
    <w:rsid w:val="008432ED"/>
    <w:rsid w:val="00843F7D"/>
    <w:rsid w:val="008450F3"/>
    <w:rsid w:val="00847D03"/>
    <w:rsid w:val="00855260"/>
    <w:rsid w:val="00860271"/>
    <w:rsid w:val="0086227D"/>
    <w:rsid w:val="00863FEE"/>
    <w:rsid w:val="008653E0"/>
    <w:rsid w:val="008730BB"/>
    <w:rsid w:val="00880B5C"/>
    <w:rsid w:val="00881CA9"/>
    <w:rsid w:val="0088262F"/>
    <w:rsid w:val="00882E11"/>
    <w:rsid w:val="00883821"/>
    <w:rsid w:val="0088500C"/>
    <w:rsid w:val="008853E0"/>
    <w:rsid w:val="0088679A"/>
    <w:rsid w:val="0089014A"/>
    <w:rsid w:val="008902CF"/>
    <w:rsid w:val="00891840"/>
    <w:rsid w:val="008966E9"/>
    <w:rsid w:val="00896C9B"/>
    <w:rsid w:val="008B188A"/>
    <w:rsid w:val="008B4A3B"/>
    <w:rsid w:val="008B56E5"/>
    <w:rsid w:val="008B6065"/>
    <w:rsid w:val="008C1F77"/>
    <w:rsid w:val="008C5AFB"/>
    <w:rsid w:val="008D1223"/>
    <w:rsid w:val="008D3CFE"/>
    <w:rsid w:val="008D5E6C"/>
    <w:rsid w:val="008D643A"/>
    <w:rsid w:val="008D7F16"/>
    <w:rsid w:val="008E08E2"/>
    <w:rsid w:val="008E160B"/>
    <w:rsid w:val="008E4534"/>
    <w:rsid w:val="008E54DB"/>
    <w:rsid w:val="008F1045"/>
    <w:rsid w:val="008F2A31"/>
    <w:rsid w:val="009018E4"/>
    <w:rsid w:val="00901B91"/>
    <w:rsid w:val="00903BED"/>
    <w:rsid w:val="00905613"/>
    <w:rsid w:val="00905BF1"/>
    <w:rsid w:val="009111B0"/>
    <w:rsid w:val="00913572"/>
    <w:rsid w:val="00915EF9"/>
    <w:rsid w:val="009171E7"/>
    <w:rsid w:val="00917A3B"/>
    <w:rsid w:val="00920413"/>
    <w:rsid w:val="0092087F"/>
    <w:rsid w:val="0092377F"/>
    <w:rsid w:val="009308D8"/>
    <w:rsid w:val="00930DF7"/>
    <w:rsid w:val="00936821"/>
    <w:rsid w:val="00936E5D"/>
    <w:rsid w:val="0094276A"/>
    <w:rsid w:val="00942C75"/>
    <w:rsid w:val="0094419B"/>
    <w:rsid w:val="0094475E"/>
    <w:rsid w:val="00951195"/>
    <w:rsid w:val="00952045"/>
    <w:rsid w:val="00952BA5"/>
    <w:rsid w:val="009554FB"/>
    <w:rsid w:val="00957EEC"/>
    <w:rsid w:val="00963696"/>
    <w:rsid w:val="009642E6"/>
    <w:rsid w:val="009645E2"/>
    <w:rsid w:val="00965CCC"/>
    <w:rsid w:val="00972BCD"/>
    <w:rsid w:val="0097304E"/>
    <w:rsid w:val="0097647D"/>
    <w:rsid w:val="00976754"/>
    <w:rsid w:val="00976B70"/>
    <w:rsid w:val="0098274E"/>
    <w:rsid w:val="00983752"/>
    <w:rsid w:val="00983EF6"/>
    <w:rsid w:val="009842C2"/>
    <w:rsid w:val="00987939"/>
    <w:rsid w:val="009927BE"/>
    <w:rsid w:val="00994EDE"/>
    <w:rsid w:val="009959F3"/>
    <w:rsid w:val="00995FFE"/>
    <w:rsid w:val="009A11C1"/>
    <w:rsid w:val="009A27F7"/>
    <w:rsid w:val="009A292D"/>
    <w:rsid w:val="009A3080"/>
    <w:rsid w:val="009A4CAF"/>
    <w:rsid w:val="009A69B5"/>
    <w:rsid w:val="009B0A5E"/>
    <w:rsid w:val="009B0D73"/>
    <w:rsid w:val="009B3167"/>
    <w:rsid w:val="009B34FA"/>
    <w:rsid w:val="009B4E90"/>
    <w:rsid w:val="009C020C"/>
    <w:rsid w:val="009C44ED"/>
    <w:rsid w:val="009C4F0D"/>
    <w:rsid w:val="009C5700"/>
    <w:rsid w:val="009C596C"/>
    <w:rsid w:val="009C5D67"/>
    <w:rsid w:val="009C5FEE"/>
    <w:rsid w:val="009C6763"/>
    <w:rsid w:val="009C692C"/>
    <w:rsid w:val="009C698C"/>
    <w:rsid w:val="009C7A2D"/>
    <w:rsid w:val="009C7CE4"/>
    <w:rsid w:val="009D72F9"/>
    <w:rsid w:val="009E18AF"/>
    <w:rsid w:val="009E4A3B"/>
    <w:rsid w:val="009E5D88"/>
    <w:rsid w:val="009E73AD"/>
    <w:rsid w:val="009F0653"/>
    <w:rsid w:val="009F09C7"/>
    <w:rsid w:val="009F2C78"/>
    <w:rsid w:val="009F632A"/>
    <w:rsid w:val="009F7FCB"/>
    <w:rsid w:val="00A00B17"/>
    <w:rsid w:val="00A01568"/>
    <w:rsid w:val="00A1042E"/>
    <w:rsid w:val="00A112C1"/>
    <w:rsid w:val="00A1794D"/>
    <w:rsid w:val="00A207E1"/>
    <w:rsid w:val="00A20EDD"/>
    <w:rsid w:val="00A220C6"/>
    <w:rsid w:val="00A2358C"/>
    <w:rsid w:val="00A256C1"/>
    <w:rsid w:val="00A2663A"/>
    <w:rsid w:val="00A30D1A"/>
    <w:rsid w:val="00A31C85"/>
    <w:rsid w:val="00A32C2E"/>
    <w:rsid w:val="00A33A9E"/>
    <w:rsid w:val="00A35D0D"/>
    <w:rsid w:val="00A45DC2"/>
    <w:rsid w:val="00A5260B"/>
    <w:rsid w:val="00A61F62"/>
    <w:rsid w:val="00A623DF"/>
    <w:rsid w:val="00A62D1A"/>
    <w:rsid w:val="00A64903"/>
    <w:rsid w:val="00A67B5E"/>
    <w:rsid w:val="00A72E16"/>
    <w:rsid w:val="00A73593"/>
    <w:rsid w:val="00A73893"/>
    <w:rsid w:val="00A73AD6"/>
    <w:rsid w:val="00A74436"/>
    <w:rsid w:val="00A76003"/>
    <w:rsid w:val="00A76D78"/>
    <w:rsid w:val="00A83140"/>
    <w:rsid w:val="00A843DA"/>
    <w:rsid w:val="00A84830"/>
    <w:rsid w:val="00A8598E"/>
    <w:rsid w:val="00A955D9"/>
    <w:rsid w:val="00A96197"/>
    <w:rsid w:val="00AA2334"/>
    <w:rsid w:val="00AA4DC4"/>
    <w:rsid w:val="00AB05C6"/>
    <w:rsid w:val="00AB3244"/>
    <w:rsid w:val="00AB66D7"/>
    <w:rsid w:val="00AB694F"/>
    <w:rsid w:val="00AC32C6"/>
    <w:rsid w:val="00AD5601"/>
    <w:rsid w:val="00AD7BA1"/>
    <w:rsid w:val="00AE0267"/>
    <w:rsid w:val="00AF1933"/>
    <w:rsid w:val="00AF5247"/>
    <w:rsid w:val="00AF78C6"/>
    <w:rsid w:val="00AF7CB4"/>
    <w:rsid w:val="00B00961"/>
    <w:rsid w:val="00B01ADE"/>
    <w:rsid w:val="00B06BA6"/>
    <w:rsid w:val="00B12237"/>
    <w:rsid w:val="00B12F3C"/>
    <w:rsid w:val="00B133E0"/>
    <w:rsid w:val="00B21C23"/>
    <w:rsid w:val="00B22EB0"/>
    <w:rsid w:val="00B24A6A"/>
    <w:rsid w:val="00B24FF7"/>
    <w:rsid w:val="00B2543C"/>
    <w:rsid w:val="00B26192"/>
    <w:rsid w:val="00B262CD"/>
    <w:rsid w:val="00B27D9C"/>
    <w:rsid w:val="00B316D1"/>
    <w:rsid w:val="00B33B11"/>
    <w:rsid w:val="00B33C5E"/>
    <w:rsid w:val="00B3755D"/>
    <w:rsid w:val="00B40A66"/>
    <w:rsid w:val="00B41090"/>
    <w:rsid w:val="00B50CF4"/>
    <w:rsid w:val="00B57332"/>
    <w:rsid w:val="00B57B39"/>
    <w:rsid w:val="00B60E9C"/>
    <w:rsid w:val="00B616D6"/>
    <w:rsid w:val="00B6632A"/>
    <w:rsid w:val="00B67C18"/>
    <w:rsid w:val="00B67D4F"/>
    <w:rsid w:val="00B74F9C"/>
    <w:rsid w:val="00B769E3"/>
    <w:rsid w:val="00B801E0"/>
    <w:rsid w:val="00B80489"/>
    <w:rsid w:val="00B83422"/>
    <w:rsid w:val="00B841C1"/>
    <w:rsid w:val="00B8765A"/>
    <w:rsid w:val="00B955B3"/>
    <w:rsid w:val="00BA15F6"/>
    <w:rsid w:val="00BB0CAA"/>
    <w:rsid w:val="00BB11A8"/>
    <w:rsid w:val="00BB2026"/>
    <w:rsid w:val="00BB3B92"/>
    <w:rsid w:val="00BC1BD9"/>
    <w:rsid w:val="00BC2BC9"/>
    <w:rsid w:val="00BC3B43"/>
    <w:rsid w:val="00BC52DF"/>
    <w:rsid w:val="00BC5535"/>
    <w:rsid w:val="00BD0BB7"/>
    <w:rsid w:val="00BD1289"/>
    <w:rsid w:val="00BD21C2"/>
    <w:rsid w:val="00BD3F00"/>
    <w:rsid w:val="00BD6A1A"/>
    <w:rsid w:val="00BE02A7"/>
    <w:rsid w:val="00BE2788"/>
    <w:rsid w:val="00BE3265"/>
    <w:rsid w:val="00BE6F4C"/>
    <w:rsid w:val="00BE7E70"/>
    <w:rsid w:val="00BF00E9"/>
    <w:rsid w:val="00BF460C"/>
    <w:rsid w:val="00BF535E"/>
    <w:rsid w:val="00BF5F9C"/>
    <w:rsid w:val="00BF64D4"/>
    <w:rsid w:val="00C02F99"/>
    <w:rsid w:val="00C03770"/>
    <w:rsid w:val="00C05D8E"/>
    <w:rsid w:val="00C06B20"/>
    <w:rsid w:val="00C06CBE"/>
    <w:rsid w:val="00C123C3"/>
    <w:rsid w:val="00C126DF"/>
    <w:rsid w:val="00C15DBB"/>
    <w:rsid w:val="00C22473"/>
    <w:rsid w:val="00C22E2C"/>
    <w:rsid w:val="00C246B9"/>
    <w:rsid w:val="00C25076"/>
    <w:rsid w:val="00C277CB"/>
    <w:rsid w:val="00C3376D"/>
    <w:rsid w:val="00C34A52"/>
    <w:rsid w:val="00C369C9"/>
    <w:rsid w:val="00C444EA"/>
    <w:rsid w:val="00C50DF8"/>
    <w:rsid w:val="00C5114A"/>
    <w:rsid w:val="00C53125"/>
    <w:rsid w:val="00C55BB5"/>
    <w:rsid w:val="00C57F33"/>
    <w:rsid w:val="00C64953"/>
    <w:rsid w:val="00C745E3"/>
    <w:rsid w:val="00C7467B"/>
    <w:rsid w:val="00C75C2E"/>
    <w:rsid w:val="00C766EF"/>
    <w:rsid w:val="00C773FC"/>
    <w:rsid w:val="00C807AA"/>
    <w:rsid w:val="00C80EE6"/>
    <w:rsid w:val="00C817A7"/>
    <w:rsid w:val="00C861B2"/>
    <w:rsid w:val="00C86975"/>
    <w:rsid w:val="00CA2A8B"/>
    <w:rsid w:val="00CA54C6"/>
    <w:rsid w:val="00CA65E9"/>
    <w:rsid w:val="00CB4339"/>
    <w:rsid w:val="00CB49F9"/>
    <w:rsid w:val="00CB6A55"/>
    <w:rsid w:val="00CC06D4"/>
    <w:rsid w:val="00CC1890"/>
    <w:rsid w:val="00CC33CC"/>
    <w:rsid w:val="00CC480B"/>
    <w:rsid w:val="00CC72C5"/>
    <w:rsid w:val="00CC7310"/>
    <w:rsid w:val="00CD332E"/>
    <w:rsid w:val="00CD41C2"/>
    <w:rsid w:val="00CD521B"/>
    <w:rsid w:val="00CD7DBD"/>
    <w:rsid w:val="00CE06FC"/>
    <w:rsid w:val="00CE4335"/>
    <w:rsid w:val="00CE665F"/>
    <w:rsid w:val="00CF197E"/>
    <w:rsid w:val="00CF5040"/>
    <w:rsid w:val="00D01BF2"/>
    <w:rsid w:val="00D0229F"/>
    <w:rsid w:val="00D03331"/>
    <w:rsid w:val="00D073EA"/>
    <w:rsid w:val="00D12776"/>
    <w:rsid w:val="00D12D35"/>
    <w:rsid w:val="00D12D70"/>
    <w:rsid w:val="00D17DB4"/>
    <w:rsid w:val="00D2092D"/>
    <w:rsid w:val="00D236EA"/>
    <w:rsid w:val="00D31AFE"/>
    <w:rsid w:val="00D332D6"/>
    <w:rsid w:val="00D346FC"/>
    <w:rsid w:val="00D35444"/>
    <w:rsid w:val="00D3691D"/>
    <w:rsid w:val="00D371C4"/>
    <w:rsid w:val="00D41ADE"/>
    <w:rsid w:val="00D4296D"/>
    <w:rsid w:val="00D431ED"/>
    <w:rsid w:val="00D458F7"/>
    <w:rsid w:val="00D4648E"/>
    <w:rsid w:val="00D471D1"/>
    <w:rsid w:val="00D50A2B"/>
    <w:rsid w:val="00D50E81"/>
    <w:rsid w:val="00D560EF"/>
    <w:rsid w:val="00D56A55"/>
    <w:rsid w:val="00D60EC2"/>
    <w:rsid w:val="00D634D8"/>
    <w:rsid w:val="00D63C2D"/>
    <w:rsid w:val="00D651FF"/>
    <w:rsid w:val="00D65A32"/>
    <w:rsid w:val="00D71DEB"/>
    <w:rsid w:val="00D7374F"/>
    <w:rsid w:val="00D73882"/>
    <w:rsid w:val="00D74A71"/>
    <w:rsid w:val="00D80609"/>
    <w:rsid w:val="00D82BB6"/>
    <w:rsid w:val="00D83EBA"/>
    <w:rsid w:val="00D8505B"/>
    <w:rsid w:val="00D85062"/>
    <w:rsid w:val="00D96CBF"/>
    <w:rsid w:val="00DA100A"/>
    <w:rsid w:val="00DA205E"/>
    <w:rsid w:val="00DA25AD"/>
    <w:rsid w:val="00DA41DB"/>
    <w:rsid w:val="00DA73E5"/>
    <w:rsid w:val="00DA7689"/>
    <w:rsid w:val="00DB0090"/>
    <w:rsid w:val="00DB1679"/>
    <w:rsid w:val="00DC2F1C"/>
    <w:rsid w:val="00DC2F84"/>
    <w:rsid w:val="00DC4BA2"/>
    <w:rsid w:val="00DD3EC5"/>
    <w:rsid w:val="00DD4C8D"/>
    <w:rsid w:val="00DD6134"/>
    <w:rsid w:val="00DD7FB4"/>
    <w:rsid w:val="00DE0FD4"/>
    <w:rsid w:val="00DE2BA1"/>
    <w:rsid w:val="00DE477C"/>
    <w:rsid w:val="00DE7B41"/>
    <w:rsid w:val="00DE7CB6"/>
    <w:rsid w:val="00DF1C7E"/>
    <w:rsid w:val="00DF269B"/>
    <w:rsid w:val="00DF3FB5"/>
    <w:rsid w:val="00DF4AB0"/>
    <w:rsid w:val="00DF66EE"/>
    <w:rsid w:val="00DF6776"/>
    <w:rsid w:val="00E00245"/>
    <w:rsid w:val="00E00371"/>
    <w:rsid w:val="00E01DE1"/>
    <w:rsid w:val="00E0694A"/>
    <w:rsid w:val="00E07A31"/>
    <w:rsid w:val="00E17346"/>
    <w:rsid w:val="00E21BE2"/>
    <w:rsid w:val="00E22994"/>
    <w:rsid w:val="00E23047"/>
    <w:rsid w:val="00E23270"/>
    <w:rsid w:val="00E3020A"/>
    <w:rsid w:val="00E309FD"/>
    <w:rsid w:val="00E403D4"/>
    <w:rsid w:val="00E403F2"/>
    <w:rsid w:val="00E40561"/>
    <w:rsid w:val="00E414F9"/>
    <w:rsid w:val="00E42DD4"/>
    <w:rsid w:val="00E4533C"/>
    <w:rsid w:val="00E50150"/>
    <w:rsid w:val="00E5049F"/>
    <w:rsid w:val="00E504D8"/>
    <w:rsid w:val="00E61308"/>
    <w:rsid w:val="00E61E70"/>
    <w:rsid w:val="00E632DC"/>
    <w:rsid w:val="00E64653"/>
    <w:rsid w:val="00E64D3E"/>
    <w:rsid w:val="00E67E38"/>
    <w:rsid w:val="00E76995"/>
    <w:rsid w:val="00E80E43"/>
    <w:rsid w:val="00E8311C"/>
    <w:rsid w:val="00E879A7"/>
    <w:rsid w:val="00E87A04"/>
    <w:rsid w:val="00E911D1"/>
    <w:rsid w:val="00E922B4"/>
    <w:rsid w:val="00E92489"/>
    <w:rsid w:val="00E94534"/>
    <w:rsid w:val="00E9711C"/>
    <w:rsid w:val="00E97970"/>
    <w:rsid w:val="00EA3F58"/>
    <w:rsid w:val="00EA4003"/>
    <w:rsid w:val="00EA4FF4"/>
    <w:rsid w:val="00EA6F61"/>
    <w:rsid w:val="00EB0151"/>
    <w:rsid w:val="00EB2B49"/>
    <w:rsid w:val="00EB53DA"/>
    <w:rsid w:val="00EB5B3E"/>
    <w:rsid w:val="00EB7ED2"/>
    <w:rsid w:val="00EC43C8"/>
    <w:rsid w:val="00EC50AC"/>
    <w:rsid w:val="00EC7313"/>
    <w:rsid w:val="00ED1806"/>
    <w:rsid w:val="00ED205C"/>
    <w:rsid w:val="00ED36BD"/>
    <w:rsid w:val="00ED3F02"/>
    <w:rsid w:val="00ED457C"/>
    <w:rsid w:val="00EE0709"/>
    <w:rsid w:val="00EE0B92"/>
    <w:rsid w:val="00EE0F0E"/>
    <w:rsid w:val="00EE12C8"/>
    <w:rsid w:val="00EE2860"/>
    <w:rsid w:val="00EE68D2"/>
    <w:rsid w:val="00EF14B7"/>
    <w:rsid w:val="00EF3F0F"/>
    <w:rsid w:val="00EF44AD"/>
    <w:rsid w:val="00EF530C"/>
    <w:rsid w:val="00F014F8"/>
    <w:rsid w:val="00F02C0B"/>
    <w:rsid w:val="00F03432"/>
    <w:rsid w:val="00F0426C"/>
    <w:rsid w:val="00F06BD2"/>
    <w:rsid w:val="00F13937"/>
    <w:rsid w:val="00F13F80"/>
    <w:rsid w:val="00F17267"/>
    <w:rsid w:val="00F22886"/>
    <w:rsid w:val="00F24A30"/>
    <w:rsid w:val="00F27587"/>
    <w:rsid w:val="00F307F9"/>
    <w:rsid w:val="00F3131F"/>
    <w:rsid w:val="00F32538"/>
    <w:rsid w:val="00F34A00"/>
    <w:rsid w:val="00F34D93"/>
    <w:rsid w:val="00F4320A"/>
    <w:rsid w:val="00F435BA"/>
    <w:rsid w:val="00F4389F"/>
    <w:rsid w:val="00F4431B"/>
    <w:rsid w:val="00F60CF6"/>
    <w:rsid w:val="00F62AEB"/>
    <w:rsid w:val="00F639C2"/>
    <w:rsid w:val="00F655F3"/>
    <w:rsid w:val="00F66A6D"/>
    <w:rsid w:val="00F707BD"/>
    <w:rsid w:val="00F72010"/>
    <w:rsid w:val="00F7477C"/>
    <w:rsid w:val="00F76428"/>
    <w:rsid w:val="00F77798"/>
    <w:rsid w:val="00F77B4D"/>
    <w:rsid w:val="00F820F7"/>
    <w:rsid w:val="00F83A44"/>
    <w:rsid w:val="00F85C22"/>
    <w:rsid w:val="00F86B12"/>
    <w:rsid w:val="00F87AC6"/>
    <w:rsid w:val="00F9085A"/>
    <w:rsid w:val="00F91B05"/>
    <w:rsid w:val="00F94E53"/>
    <w:rsid w:val="00F96143"/>
    <w:rsid w:val="00F976BB"/>
    <w:rsid w:val="00F979AC"/>
    <w:rsid w:val="00FA02CE"/>
    <w:rsid w:val="00FA6353"/>
    <w:rsid w:val="00FA74E8"/>
    <w:rsid w:val="00FB32DE"/>
    <w:rsid w:val="00FB3ADA"/>
    <w:rsid w:val="00FB420A"/>
    <w:rsid w:val="00FB56E2"/>
    <w:rsid w:val="00FB6885"/>
    <w:rsid w:val="00FB7A50"/>
    <w:rsid w:val="00FC0DF5"/>
    <w:rsid w:val="00FC44B5"/>
    <w:rsid w:val="00FC6127"/>
    <w:rsid w:val="00FC7A4D"/>
    <w:rsid w:val="00FD08A0"/>
    <w:rsid w:val="00FD1F63"/>
    <w:rsid w:val="00FD2E42"/>
    <w:rsid w:val="00FD4AA6"/>
    <w:rsid w:val="00FD53CC"/>
    <w:rsid w:val="00FD6404"/>
    <w:rsid w:val="00FE1AA9"/>
    <w:rsid w:val="00FE2B9E"/>
    <w:rsid w:val="00FE4679"/>
    <w:rsid w:val="00FE6123"/>
    <w:rsid w:val="00FE6555"/>
    <w:rsid w:val="00FE6E03"/>
    <w:rsid w:val="00FF442C"/>
    <w:rsid w:val="00FF51E1"/>
    <w:rsid w:val="00FF5862"/>
    <w:rsid w:val="00FF6DFD"/>
    <w:rsid w:val="409B387A"/>
    <w:rsid w:val="4B0920D1"/>
    <w:rsid w:val="62471AB3"/>
    <w:rsid w:val="69D50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2">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3">
    <w:name w:val="annotation text"/>
    <w:basedOn w:val="1"/>
    <w:link w:val="20"/>
    <w:qFormat/>
    <w:uiPriority w:val="0"/>
    <w:pPr>
      <w:jc w:val="left"/>
    </w:pPr>
  </w:style>
  <w:style w:type="paragraph" w:styleId="4">
    <w:name w:val="Body Text Indent"/>
    <w:basedOn w:val="1"/>
    <w:uiPriority w:val="0"/>
    <w:pPr>
      <w:widowControl/>
      <w:spacing w:before="100" w:beforeAutospacing="1" w:after="100" w:afterAutospacing="1"/>
      <w:jc w:val="left"/>
    </w:pPr>
    <w:rPr>
      <w:rFonts w:ascii="宋体" w:hAnsi="宋体" w:cs="宋体"/>
      <w:kern w:val="0"/>
      <w:sz w:val="24"/>
    </w:rPr>
  </w:style>
  <w:style w:type="paragraph" w:styleId="5">
    <w:name w:val="Body Text Indent 2"/>
    <w:basedOn w:val="1"/>
    <w:uiPriority w:val="0"/>
    <w:pPr>
      <w:widowControl/>
      <w:spacing w:before="100" w:beforeAutospacing="1" w:after="100" w:afterAutospacing="1"/>
      <w:jc w:val="left"/>
    </w:pPr>
    <w:rPr>
      <w:rFonts w:ascii="宋体" w:hAnsi="宋体" w:cs="宋体"/>
      <w:kern w:val="0"/>
      <w:sz w:val="24"/>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3"/>
    <w:next w:val="3"/>
    <w:link w:val="21"/>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Strong"/>
    <w:qFormat/>
    <w:uiPriority w:val="0"/>
    <w:rPr>
      <w:b/>
      <w:bCs/>
    </w:rPr>
  </w:style>
  <w:style w:type="character" w:styleId="14">
    <w:name w:val="Hyperlink"/>
    <w:qFormat/>
    <w:uiPriority w:val="0"/>
    <w:rPr>
      <w:color w:val="0068B7"/>
      <w:u w:val="none"/>
    </w:rPr>
  </w:style>
  <w:style w:type="character" w:styleId="15">
    <w:name w:val="annotation reference"/>
    <w:basedOn w:val="12"/>
    <w:qFormat/>
    <w:uiPriority w:val="0"/>
    <w:rPr>
      <w:sz w:val="21"/>
      <w:szCs w:val="21"/>
    </w:rPr>
  </w:style>
  <w:style w:type="character" w:customStyle="1" w:styleId="16">
    <w:name w:val="141"/>
    <w:qFormat/>
    <w:uiPriority w:val="0"/>
    <w:rPr>
      <w:sz w:val="21"/>
      <w:szCs w:val="21"/>
    </w:rPr>
  </w:style>
  <w:style w:type="character" w:customStyle="1" w:styleId="17">
    <w:name w:val="ztag pre"/>
    <w:basedOn w:val="12"/>
    <w:qFormat/>
    <w:uiPriority w:val="0"/>
  </w:style>
  <w:style w:type="character" w:customStyle="1" w:styleId="18">
    <w:name w:val="已访问的超链接1"/>
    <w:qFormat/>
    <w:uiPriority w:val="0"/>
    <w:rPr>
      <w:color w:val="800080"/>
      <w:u w:val="single"/>
    </w:rPr>
  </w:style>
  <w:style w:type="paragraph" w:styleId="19">
    <w:name w:val="List Paragraph"/>
    <w:basedOn w:val="1"/>
    <w:qFormat/>
    <w:uiPriority w:val="34"/>
    <w:pPr>
      <w:ind w:firstLine="420" w:firstLineChars="200"/>
    </w:pPr>
  </w:style>
  <w:style w:type="character" w:customStyle="1" w:styleId="20">
    <w:name w:val="批注文字 字符"/>
    <w:basedOn w:val="12"/>
    <w:link w:val="3"/>
    <w:qFormat/>
    <w:uiPriority w:val="0"/>
    <w:rPr>
      <w:kern w:val="2"/>
      <w:sz w:val="21"/>
      <w:szCs w:val="24"/>
    </w:rPr>
  </w:style>
  <w:style w:type="character" w:customStyle="1" w:styleId="21">
    <w:name w:val="批注主题 字符"/>
    <w:basedOn w:val="20"/>
    <w:link w:val="9"/>
    <w:qFormat/>
    <w:uiPriority w:val="0"/>
    <w:rPr>
      <w:b/>
      <w:bCs/>
      <w:kern w:val="2"/>
      <w:sz w:val="21"/>
      <w:szCs w:val="24"/>
    </w:rPr>
  </w:style>
  <w:style w:type="character" w:customStyle="1" w:styleId="22">
    <w:name w:val="未处理的提及1"/>
    <w:basedOn w:val="1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C5C390-0EBE-418D-9B02-3A9B4EF13CA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501</Words>
  <Characters>2860</Characters>
  <Lines>23</Lines>
  <Paragraphs>6</Paragraphs>
  <TotalTime>1190</TotalTime>
  <ScaleCrop>false</ScaleCrop>
  <LinksUpToDate>false</LinksUpToDate>
  <CharactersWithSpaces>3355</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2019-03-29T08:14:00Z</dcterms:created>
  <dc:creator>全美国际教育协会</dc:creator>
  <cp:lastModifiedBy>Linda</cp:lastModifiedBy>
  <cp:lastPrinted>2011-12-16T08:54:00Z</cp:lastPrinted>
  <dcterms:modified xsi:type="dcterms:W3CDTF">2019-08-21T11:55:08Z</dcterms:modified>
  <dc:title>加州大学河滨分校短期访学项目</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