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澳大利亚昆士兰大学 </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2020冬季访学</w:t>
      </w:r>
      <w:r>
        <w:rPr>
          <w:rFonts w:asciiTheme="minorHAnsi" w:hAnsiTheme="minorHAnsi" w:eastAsiaTheme="majorEastAsia" w:cstheme="minorHAnsi"/>
          <w:b/>
          <w:kern w:val="0"/>
          <w:sz w:val="32"/>
          <w:szCs w:val="21"/>
        </w:rPr>
        <w:t>项目</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语言文化课程</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University of Queensland</w:t>
      </w:r>
    </w:p>
    <w:p>
      <w:pPr>
        <w:widowControl/>
        <w:spacing w:line="360" w:lineRule="auto"/>
        <w:jc w:val="center"/>
        <w:rPr>
          <w:rFonts w:asciiTheme="minorHAnsi" w:hAnsiTheme="minorHAnsi" w:eastAsiaTheme="majorEastAsia" w:cstheme="minorHAnsi"/>
          <w:b/>
          <w:kern w:val="0"/>
          <w:sz w:val="30"/>
          <w:szCs w:val="30"/>
        </w:rPr>
      </w:pPr>
      <w:r>
        <w:rPr>
          <w:rFonts w:asciiTheme="minorHAnsi" w:hAnsiTheme="minorHAnsi" w:eastAsiaTheme="majorEastAsia" w:cstheme="minorHAnsi"/>
          <w:b/>
          <w:sz w:val="30"/>
          <w:szCs w:val="30"/>
        </w:rPr>
        <w:t>E</w:t>
      </w:r>
      <w:r>
        <w:rPr>
          <w:rFonts w:hint="eastAsia" w:asciiTheme="minorHAnsi" w:hAnsiTheme="minorHAnsi" w:eastAsiaTheme="majorEastAsia" w:cstheme="minorHAnsi"/>
          <w:b/>
          <w:sz w:val="30"/>
          <w:szCs w:val="30"/>
        </w:rPr>
        <w:t>n</w:t>
      </w:r>
      <w:r>
        <w:rPr>
          <w:rFonts w:asciiTheme="minorHAnsi" w:hAnsiTheme="minorHAnsi" w:eastAsiaTheme="majorEastAsia" w:cstheme="minorHAnsi"/>
          <w:b/>
          <w:sz w:val="30"/>
          <w:szCs w:val="30"/>
        </w:rPr>
        <w:t xml:space="preserve">glish </w:t>
      </w:r>
      <w:r>
        <w:rPr>
          <w:rFonts w:hint="eastAsia" w:asciiTheme="minorHAnsi" w:hAnsiTheme="minorHAnsi" w:eastAsiaTheme="majorEastAsia" w:cstheme="minorHAnsi"/>
          <w:b/>
          <w:sz w:val="30"/>
          <w:szCs w:val="30"/>
        </w:rPr>
        <w:t xml:space="preserve">Language </w:t>
      </w:r>
      <w:r>
        <w:rPr>
          <w:rFonts w:asciiTheme="minorHAnsi" w:hAnsiTheme="minorHAnsi" w:eastAsiaTheme="majorEastAsia" w:cstheme="minorHAnsi"/>
          <w:b/>
          <w:sz w:val="30"/>
          <w:szCs w:val="30"/>
        </w:rPr>
        <w:t>Program</w:t>
      </w:r>
      <w:r>
        <w:rPr>
          <w:rFonts w:hint="eastAsia" w:asciiTheme="minorHAnsi" w:hAnsiTheme="minorHAnsi" w:eastAsiaTheme="majorEastAsia" w:cstheme="minorHAnsi"/>
          <w:b/>
          <w:sz w:val="30"/>
          <w:szCs w:val="30"/>
        </w:rPr>
        <w:t>s</w:t>
      </w:r>
    </w:p>
    <w:p>
      <w:pPr>
        <w:widowControl/>
        <w:spacing w:line="360" w:lineRule="auto"/>
        <w:jc w:val="center"/>
        <w:rPr>
          <w:rFonts w:asciiTheme="minorHAnsi" w:hAnsiTheme="minorHAnsi" w:eastAsiaTheme="majorEastAsia" w:cstheme="minorHAnsi"/>
          <w:b/>
          <w:kern w:val="0"/>
          <w:szCs w:val="21"/>
        </w:rPr>
      </w:pPr>
      <w:r>
        <w:rPr>
          <w:rFonts w:cs="Calibri" w:asciiTheme="minorHAnsi" w:hAnsiTheme="minorHAnsi"/>
          <w:b/>
          <w:kern w:val="0"/>
          <w:szCs w:val="21"/>
        </w:rPr>
        <w:t>20</w:t>
      </w:r>
      <w:r>
        <w:rPr>
          <w:rFonts w:hint="eastAsia" w:cs="Calibri" w:asciiTheme="minorHAnsi" w:hAnsiTheme="minorHAnsi"/>
          <w:b/>
          <w:kern w:val="0"/>
          <w:szCs w:val="21"/>
        </w:rPr>
        <w:t>20</w:t>
      </w:r>
      <w:r>
        <w:rPr>
          <w:rFonts w:cs="Calibri" w:asciiTheme="minorHAnsi" w:hAnsiTheme="minorHAnsi"/>
          <w:b/>
          <w:kern w:val="0"/>
          <w:szCs w:val="21"/>
        </w:rPr>
        <w:t>年</w:t>
      </w:r>
      <w:r>
        <w:rPr>
          <w:rFonts w:hint="eastAsia" w:cs="Calibri" w:asciiTheme="minorHAnsi" w:hAnsiTheme="minorHAnsi"/>
          <w:b/>
          <w:kern w:val="0"/>
          <w:szCs w:val="21"/>
        </w:rPr>
        <w:t xml:space="preserve">1月6日 </w:t>
      </w:r>
      <w:r>
        <w:rPr>
          <w:rFonts w:cs="Calibri" w:asciiTheme="minorHAnsi" w:hAnsiTheme="minorHAnsi"/>
          <w:b/>
          <w:kern w:val="0"/>
          <w:szCs w:val="21"/>
        </w:rPr>
        <w:t xml:space="preserve">– </w:t>
      </w:r>
      <w:r>
        <w:rPr>
          <w:rFonts w:hint="eastAsia" w:cs="Calibri" w:asciiTheme="minorHAnsi" w:hAnsiTheme="minorHAnsi"/>
          <w:b/>
          <w:kern w:val="0"/>
          <w:szCs w:val="21"/>
        </w:rPr>
        <w:t>2月7日</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昆士兰大学的继续教育与对外英语教学学院（Institute of Continuing &amp; TESOL Education）成立于1981年, 具备超过30年的丰富教学经验，屡获澳洲教育培训领域的殊荣，每年为近8,000名来自世界各地的学生提供各类优质的英语学习与培训项目，满足不同的学习需求。</w:t>
      </w: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参加昆士兰大学2020年冬季访学项目的学生，可以选择参加通用英语（General English）、或国际商务沟通英语（English for International Business Communication）、或学术英语（English for Academic English）。项目学生与昆士兰大学在读语言学生混合编班，由昆士兰大学进行统一的学术管理与学术考核，获得昆士兰大学正式成绩单。</w:t>
      </w:r>
    </w:p>
    <w:p>
      <w:pPr>
        <w:widowControl/>
        <w:spacing w:line="360" w:lineRule="auto"/>
        <w:ind w:firstLine="420" w:firstLineChars="200"/>
        <w:jc w:val="left"/>
        <w:rPr>
          <w:rFonts w:asciiTheme="minorHAnsi" w:hAnsiTheme="minorHAnsi" w:eastAsiaTheme="majorEastAsia" w:cstheme="minorHAnsi"/>
          <w:kern w:val="0"/>
          <w:szCs w:val="21"/>
        </w:rPr>
      </w:pP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全美国际教育协会作为昆士兰大学在中国的正式授权机构，负责选拔优秀中国大学生，于2020年冬季前往昆士兰大学参加为期5周的语言课程项目。项目学生通过5周的学习，将迅速提升自身的英语水平，同时体验澳大利亚的社会与文化。</w:t>
      </w:r>
    </w:p>
    <w:p>
      <w:pPr>
        <w:widowControl/>
        <w:spacing w:line="360" w:lineRule="auto"/>
        <w:ind w:firstLine="420" w:firstLineChars="200"/>
        <w:jc w:val="left"/>
        <w:rPr>
          <w:rFonts w:asciiTheme="minorHAnsi" w:hAnsiTheme="minorHAnsi"/>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【体验澳洲纯正英语课程】参加澳大利亚名校的优质语言课程，每周20学时强化学习，有效提升语言技巧；</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w:t>
      </w:r>
      <w:r>
        <w:rPr>
          <w:rFonts w:hint="eastAsia" w:asciiTheme="minorHAnsi" w:hAnsiTheme="minorHAnsi" w:eastAsiaTheme="majorEastAsia" w:cstheme="minorHAnsi"/>
          <w:szCs w:val="21"/>
        </w:rPr>
        <w:t>昆士兰</w:t>
      </w:r>
      <w:r>
        <w:rPr>
          <w:rFonts w:hint="eastAsia" w:cs="Calibri" w:asciiTheme="minorHAnsi" w:hAnsiTheme="minorHAnsi"/>
          <w:szCs w:val="21"/>
        </w:rPr>
        <w:t>大学成绩单和项目证书】获得</w:t>
      </w:r>
      <w:r>
        <w:rPr>
          <w:rFonts w:hint="eastAsia" w:asciiTheme="minorHAnsi" w:hAnsiTheme="minorHAnsi" w:eastAsiaTheme="majorEastAsia" w:cstheme="minorHAnsi"/>
          <w:szCs w:val="21"/>
        </w:rPr>
        <w:t>昆士兰</w:t>
      </w:r>
      <w:r>
        <w:rPr>
          <w:rFonts w:hint="eastAsia" w:cs="Calibri" w:asciiTheme="minorHAnsi" w:hAnsiTheme="minorHAnsi" w:eastAsiaTheme="majorEastAsia"/>
          <w:szCs w:val="21"/>
        </w:rPr>
        <w:t>大学</w:t>
      </w:r>
      <w:r>
        <w:rPr>
          <w:rFonts w:hint="eastAsia" w:cs="Calibri" w:asciiTheme="minorHAnsi" w:hAnsiTheme="minorHAnsi"/>
          <w:szCs w:val="21"/>
        </w:rPr>
        <w:t>颁发的成绩单与项目证书，为个人履历添砖加瓦；</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【尽享校园设施与资源】 获得</w:t>
      </w:r>
      <w:r>
        <w:rPr>
          <w:rFonts w:hint="eastAsia" w:asciiTheme="minorHAnsi" w:hAnsiTheme="minorHAnsi" w:eastAsiaTheme="majorEastAsia" w:cstheme="minorHAnsi"/>
          <w:szCs w:val="21"/>
        </w:rPr>
        <w:t>昆士兰大学</w:t>
      </w:r>
      <w:r>
        <w:rPr>
          <w:rFonts w:hint="eastAsia" w:cs="Calibri" w:asciiTheme="minorHAnsi" w:hAnsiTheme="minorHAnsi"/>
          <w:szCs w:val="21"/>
        </w:rPr>
        <w:t>学生证，</w:t>
      </w:r>
      <w:r>
        <w:rPr>
          <w:rFonts w:hint="eastAsia" w:asciiTheme="minorHAnsi" w:hAnsiTheme="minorHAnsi" w:eastAsiaTheme="majorEastAsia" w:cstheme="minorHAnsi"/>
          <w:szCs w:val="21"/>
        </w:rPr>
        <w:t>按校方规定充分享受各类校园设施与教育资源</w:t>
      </w:r>
      <w:r>
        <w:rPr>
          <w:rFonts w:hint="eastAsia" w:cs="Calibri" w:asciiTheme="minorHAnsi" w:hAnsiTheme="minorHAnsi"/>
          <w:szCs w:val="21"/>
        </w:rPr>
        <w:t>；</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【丰富的文化活动体验】丰富多彩的澳大利亚文化体验，畅游布里斯班与黄金海岸的特色景点。</w:t>
      </w:r>
    </w:p>
    <w:p>
      <w:pPr>
        <w:widowControl/>
        <w:spacing w:line="360" w:lineRule="auto"/>
        <w:jc w:val="left"/>
        <w:rPr>
          <w:rFonts w:asciiTheme="minorHAnsi" w:hAnsiTheme="minorHAnsi" w:eastAsiaTheme="majorEastAsia" w:cstheme="minorHAnsi"/>
          <w:color w:val="000000"/>
          <w:szCs w:val="21"/>
        </w:rPr>
      </w:pPr>
    </w:p>
    <w:p>
      <w:pPr>
        <w:pStyle w:val="19"/>
        <w:widowControl/>
        <w:numPr>
          <w:ilvl w:val="0"/>
          <w:numId w:val="2"/>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昆士兰</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3"/>
        </w:numPr>
        <w:spacing w:line="360" w:lineRule="auto"/>
        <w:ind w:firstLineChars="0"/>
        <w:jc w:val="left"/>
        <w:rPr>
          <w:rFonts w:cs="Arial" w:asciiTheme="minorHAnsi" w:hAnsiTheme="minorHAnsi"/>
          <w:color w:val="333333"/>
          <w:kern w:val="0"/>
          <w:szCs w:val="21"/>
        </w:rPr>
      </w:pPr>
      <w:r>
        <w:rPr>
          <w:rFonts w:cs="Arial" w:asciiTheme="minorHAnsi" w:hAnsiTheme="minorHAnsi"/>
          <w:color w:val="333333"/>
          <w:kern w:val="0"/>
          <w:szCs w:val="21"/>
        </w:rPr>
        <w:t>创建于1</w:t>
      </w:r>
      <w:r>
        <w:rPr>
          <w:rFonts w:hint="eastAsia" w:cs="Arial" w:asciiTheme="minorHAnsi" w:hAnsiTheme="minorHAnsi"/>
          <w:color w:val="333333"/>
          <w:kern w:val="0"/>
          <w:szCs w:val="21"/>
        </w:rPr>
        <w:t>909</w:t>
      </w:r>
      <w:r>
        <w:rPr>
          <w:rFonts w:cs="Arial" w:asciiTheme="minorHAnsi" w:hAnsiTheme="minorHAnsi"/>
          <w:color w:val="333333"/>
          <w:kern w:val="0"/>
          <w:szCs w:val="21"/>
        </w:rPr>
        <w:t>年，</w:t>
      </w:r>
      <w:r>
        <w:rPr>
          <w:rFonts w:hint="eastAsia" w:cs="Arial" w:asciiTheme="minorHAnsi" w:hAnsiTheme="minorHAnsi"/>
          <w:color w:val="333333"/>
          <w:kern w:val="0"/>
          <w:szCs w:val="21"/>
        </w:rPr>
        <w:t>澳大利亚</w:t>
      </w:r>
      <w:r>
        <w:rPr>
          <w:rFonts w:cs="Arial" w:asciiTheme="minorHAnsi" w:hAnsiTheme="minorHAnsi"/>
          <w:color w:val="333333"/>
          <w:kern w:val="0"/>
          <w:szCs w:val="21"/>
        </w:rPr>
        <w:t>顶尖学府，</w:t>
      </w:r>
      <w:r>
        <w:rPr>
          <w:rFonts w:cs="Arial" w:asciiTheme="minorHAnsi" w:hAnsiTheme="minorHAnsi"/>
          <w:color w:val="333333"/>
          <w:szCs w:val="21"/>
          <w:shd w:val="clear" w:color="auto" w:fill="FFFFFF"/>
        </w:rPr>
        <w:t>澳大利亚菁英大学集团 Group of Eight （八大名校联盟）的成员之一</w:t>
      </w:r>
      <w:r>
        <w:rPr>
          <w:rFonts w:hint="eastAsia" w:ascii="Arial" w:hAnsi="Arial" w:cs="Arial"/>
          <w:color w:val="333333"/>
          <w:kern w:val="0"/>
          <w:szCs w:val="21"/>
        </w:rPr>
        <w:t>；</w:t>
      </w:r>
    </w:p>
    <w:p>
      <w:pPr>
        <w:pStyle w:val="19"/>
        <w:widowControl/>
        <w:numPr>
          <w:ilvl w:val="0"/>
          <w:numId w:val="3"/>
        </w:numPr>
        <w:spacing w:line="360" w:lineRule="auto"/>
        <w:ind w:firstLineChars="0"/>
        <w:jc w:val="left"/>
        <w:rPr>
          <w:rFonts w:cs="Arial" w:asciiTheme="minorHAnsi" w:hAnsiTheme="minorHAnsi"/>
          <w:color w:val="333333"/>
          <w:kern w:val="0"/>
          <w:szCs w:val="21"/>
        </w:rPr>
      </w:pPr>
      <w:r>
        <w:rPr>
          <w:rFonts w:hint="eastAsia" w:cs="Arial" w:asciiTheme="minorHAnsi" w:hAnsiTheme="minorHAnsi"/>
          <w:color w:val="333333"/>
          <w:kern w:val="0"/>
          <w:szCs w:val="21"/>
        </w:rPr>
        <w:t>2019美国新闻与世界报道全球大学综合排名第45；2019 QS世界大学排名第48；2018上海交大世界大学学术排名第55；</w:t>
      </w:r>
    </w:p>
    <w:p>
      <w:pPr>
        <w:pStyle w:val="19"/>
        <w:widowControl/>
        <w:numPr>
          <w:ilvl w:val="0"/>
          <w:numId w:val="3"/>
        </w:numPr>
        <w:spacing w:line="360" w:lineRule="auto"/>
        <w:ind w:firstLineChars="0"/>
        <w:jc w:val="left"/>
        <w:rPr>
          <w:rFonts w:cs="Arial" w:asciiTheme="minorHAnsi" w:hAnsiTheme="minorHAnsi"/>
          <w:color w:val="333333"/>
          <w:kern w:val="0"/>
          <w:szCs w:val="21"/>
        </w:rPr>
      </w:pPr>
      <w:r>
        <w:rPr>
          <w:rFonts w:hint="eastAsia" w:asciiTheme="minorHAnsi" w:hAnsiTheme="minorHAnsi"/>
        </w:rPr>
        <w:t>下设六所学院，拥有八所世界顶级的研究所，学生数量超过5万2千人；教学质量与学术声誉卓著，是荣获教学类奖项最多的澳洲大学；</w:t>
      </w:r>
    </w:p>
    <w:p>
      <w:pPr>
        <w:pStyle w:val="19"/>
        <w:widowControl/>
        <w:numPr>
          <w:ilvl w:val="0"/>
          <w:numId w:val="3"/>
        </w:numPr>
        <w:spacing w:line="360" w:lineRule="auto"/>
        <w:ind w:firstLineChars="0"/>
        <w:jc w:val="left"/>
        <w:rPr>
          <w:rFonts w:cs="Arial" w:asciiTheme="minorHAnsi" w:hAnsiTheme="minorHAnsi"/>
          <w:color w:val="333333"/>
          <w:kern w:val="0"/>
          <w:szCs w:val="21"/>
        </w:rPr>
      </w:pPr>
      <w:r>
        <w:rPr>
          <w:rFonts w:asciiTheme="minorHAnsi" w:hAnsiTheme="minorHAnsi"/>
        </w:rPr>
        <w:t>强势专业包括环境</w:t>
      </w:r>
      <w:r>
        <w:rPr>
          <w:rFonts w:hint="eastAsia" w:asciiTheme="minorHAnsi" w:hAnsiTheme="minorHAnsi"/>
        </w:rPr>
        <w:t>/生态学、</w:t>
      </w:r>
      <w:r>
        <w:rPr>
          <w:rFonts w:asciiTheme="minorHAnsi" w:hAnsiTheme="minorHAnsi"/>
        </w:rPr>
        <w:t>作物与动物科学</w:t>
      </w:r>
      <w:r>
        <w:rPr>
          <w:rFonts w:hint="eastAsia" w:asciiTheme="minorHAnsi" w:hAnsiTheme="minorHAnsi"/>
        </w:rPr>
        <w:t>、农业科学、</w:t>
      </w:r>
      <w:r>
        <w:rPr>
          <w:rFonts w:asciiTheme="minorHAnsi" w:hAnsiTheme="minorHAnsi"/>
        </w:rPr>
        <w:t>社会科学</w:t>
      </w:r>
      <w:r>
        <w:rPr>
          <w:rFonts w:hint="eastAsia" w:asciiTheme="minorHAnsi" w:hAnsiTheme="minorHAnsi"/>
        </w:rPr>
        <w:t>、</w:t>
      </w:r>
      <w:r>
        <w:rPr>
          <w:rFonts w:asciiTheme="minorHAnsi" w:hAnsiTheme="minorHAnsi"/>
        </w:rPr>
        <w:t>生物与生物化学</w:t>
      </w:r>
      <w:r>
        <w:rPr>
          <w:rFonts w:hint="eastAsia" w:asciiTheme="minorHAnsi" w:hAnsiTheme="minorHAnsi"/>
        </w:rPr>
        <w:t>、</w:t>
      </w:r>
      <w:r>
        <w:rPr>
          <w:rFonts w:asciiTheme="minorHAnsi" w:hAnsiTheme="minorHAnsi"/>
        </w:rPr>
        <w:t>经济学与商科等</w:t>
      </w:r>
      <w:r>
        <w:rPr>
          <w:rFonts w:hint="eastAsia" w:cs="Arial" w:asciiTheme="minorHAnsi" w:hAnsiTheme="minorHAnsi"/>
          <w:color w:val="333333"/>
          <w:kern w:val="0"/>
          <w:szCs w:val="21"/>
        </w:rPr>
        <w:t>；</w:t>
      </w:r>
    </w:p>
    <w:p>
      <w:pPr>
        <w:pStyle w:val="19"/>
        <w:widowControl/>
        <w:numPr>
          <w:ilvl w:val="0"/>
          <w:numId w:val="3"/>
        </w:numPr>
        <w:spacing w:line="360" w:lineRule="auto"/>
        <w:ind w:firstLineChars="0"/>
        <w:jc w:val="left"/>
        <w:rPr>
          <w:rFonts w:cs="Arial" w:asciiTheme="minorHAnsi" w:hAnsiTheme="minorHAnsi"/>
          <w:color w:val="333333"/>
          <w:kern w:val="0"/>
          <w:szCs w:val="21"/>
        </w:rPr>
      </w:pPr>
      <w:r>
        <w:rPr>
          <w:rFonts w:hint="eastAsia" w:asciiTheme="minorHAnsi" w:hAnsiTheme="minorHAnsi"/>
        </w:rPr>
        <w:t>学校位于澳大利亚东南部的旅游名城布里斯班，毗邻著名的黄金海岸</w:t>
      </w:r>
      <w:r>
        <w:rPr>
          <w:rFonts w:asciiTheme="minorHAnsi" w:hAnsiTheme="minorHAnsi"/>
        </w:rPr>
        <w:t>，</w:t>
      </w:r>
      <w:r>
        <w:rPr>
          <w:rFonts w:ascii="Arial" w:hAnsi="Arial" w:cs="Arial"/>
          <w:color w:val="333333"/>
          <w:szCs w:val="21"/>
          <w:shd w:val="clear" w:color="auto" w:fill="FFFFFF"/>
        </w:rPr>
        <w:t>气候温和，四季宜人</w:t>
      </w:r>
      <w:r>
        <w:rPr>
          <w:rFonts w:hint="eastAsia" w:ascii="Arial" w:hAnsi="Arial" w:cs="Arial"/>
          <w:color w:val="333333"/>
          <w:szCs w:val="21"/>
          <w:shd w:val="clear" w:color="auto" w:fill="FFFFFF"/>
        </w:rPr>
        <w:t>，</w:t>
      </w:r>
      <w:r>
        <w:rPr>
          <w:rFonts w:hint="eastAsia" w:asciiTheme="minorHAnsi" w:hAnsiTheme="minorHAnsi"/>
        </w:rPr>
        <w:t>是</w:t>
      </w:r>
      <w:r>
        <w:rPr>
          <w:rFonts w:asciiTheme="minorHAnsi" w:hAnsiTheme="minorHAnsi"/>
        </w:rPr>
        <w:t>澳洲最宜居</w:t>
      </w:r>
      <w:r>
        <w:rPr>
          <w:rFonts w:hint="eastAsia" w:asciiTheme="minorHAnsi" w:hAnsiTheme="minorHAnsi"/>
        </w:rPr>
        <w:t>、</w:t>
      </w:r>
      <w:r>
        <w:rPr>
          <w:rFonts w:asciiTheme="minorHAnsi" w:hAnsiTheme="minorHAnsi"/>
        </w:rPr>
        <w:t>同时也是生活成本最低的城市之一</w:t>
      </w:r>
    </w:p>
    <w:p>
      <w:pPr>
        <w:pStyle w:val="19"/>
        <w:widowControl/>
        <w:spacing w:line="360" w:lineRule="auto"/>
        <w:ind w:left="420" w:firstLine="0" w:firstLineChars="0"/>
        <w:jc w:val="left"/>
        <w:rPr>
          <w:rFonts w:ascii="Arial" w:hAnsi="Arial" w:cs="Arial"/>
          <w:color w:val="333333"/>
          <w:szCs w:val="21"/>
          <w:shd w:val="clear" w:color="auto" w:fill="FFFFFF"/>
        </w:rPr>
      </w:pPr>
      <w:r>
        <w:drawing>
          <wp:anchor distT="0" distB="0" distL="114300" distR="114300" simplePos="0" relativeHeight="251667456" behindDoc="0" locked="0" layoutInCell="1" allowOverlap="1">
            <wp:simplePos x="0" y="0"/>
            <wp:positionH relativeFrom="column">
              <wp:posOffset>92710</wp:posOffset>
            </wp:positionH>
            <wp:positionV relativeFrom="paragraph">
              <wp:posOffset>142875</wp:posOffset>
            </wp:positionV>
            <wp:extent cx="5274310" cy="2096135"/>
            <wp:effectExtent l="0" t="0" r="8890" b="1206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2096135"/>
                    </a:xfrm>
                    <a:prstGeom prst="rect">
                      <a:avLst/>
                    </a:prstGeom>
                  </pic:spPr>
                </pic:pic>
              </a:graphicData>
            </a:graphic>
          </wp:anchor>
        </w:drawing>
      </w:r>
    </w:p>
    <w:p>
      <w:pPr>
        <w:pStyle w:val="19"/>
        <w:widowControl/>
        <w:numPr>
          <w:ilvl w:val="0"/>
          <w:numId w:val="2"/>
        </w:numPr>
        <w:spacing w:line="360" w:lineRule="auto"/>
        <w:ind w:firstLineChars="0"/>
        <w:jc w:val="left"/>
        <w:rPr>
          <w:rFonts w:asciiTheme="minorHAnsi" w:hAnsiTheme="minorHAnsi" w:cstheme="minorHAnsi"/>
          <w:b/>
          <w:kern w:val="0"/>
          <w:szCs w:val="21"/>
        </w:rPr>
      </w:pPr>
      <w:r>
        <w:rPr>
          <w:rFonts w:hint="eastAsia" w:asciiTheme="minorHAnsi" w:hAnsiTheme="minorHAnsi" w:cstheme="minorHAnsi"/>
          <w:b/>
          <w:kern w:val="0"/>
          <w:szCs w:val="21"/>
        </w:rPr>
        <w:t>项目详情</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2"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b/>
          <w:szCs w:val="21"/>
        </w:rPr>
        <w:t xml:space="preserve">2020年1月6日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2月7日</w:t>
      </w:r>
      <w:r>
        <w:rPr>
          <w:rFonts w:hint="eastAsia" w:asciiTheme="minorHAnsi" w:hAnsiTheme="minorHAnsi" w:eastAsiaTheme="majorEastAsia" w:cstheme="minorHAnsi"/>
          <w:szCs w:val="21"/>
        </w:rPr>
        <w:t>（5周）</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pStyle w:val="19"/>
        <w:widowControl/>
        <w:numPr>
          <w:ilvl w:val="0"/>
          <w:numId w:val="4"/>
        </w:numPr>
        <w:spacing w:line="360" w:lineRule="auto"/>
        <w:ind w:left="224" w:leftChars="102" w:hanging="10" w:firstLineChars="0"/>
        <w:rPr>
          <w:rFonts w:asciiTheme="minorHAnsi" w:hAnsiTheme="minorHAnsi" w:eastAsiaTheme="majorEastAsia" w:cstheme="minorHAnsi"/>
          <w:szCs w:val="21"/>
          <w:u w:val="single"/>
        </w:rPr>
      </w:pPr>
      <w:r>
        <w:rPr>
          <w:rFonts w:hint="eastAsia" w:asciiTheme="minorHAnsi" w:hAnsiTheme="minorHAnsi" w:eastAsiaTheme="majorEastAsia" w:cstheme="minorHAnsi"/>
          <w:szCs w:val="21"/>
          <w:u w:val="single"/>
        </w:rPr>
        <w:t>通用英语</w:t>
      </w:r>
      <w:r>
        <w:rPr>
          <w:rFonts w:hint="eastAsia" w:asciiTheme="minorHAnsi" w:hAnsiTheme="minorHAnsi" w:eastAsiaTheme="majorEastAsia" w:cstheme="minorHAnsi"/>
          <w:szCs w:val="21"/>
        </w:rPr>
        <w:t>（General English）</w:t>
      </w:r>
      <w:r>
        <w:rPr>
          <w:rFonts w:asciiTheme="minorHAnsi" w:hAnsiTheme="minorHAnsi" w:eastAsiaTheme="majorEastAsia" w:cstheme="minorHAnsi"/>
          <w:szCs w:val="21"/>
          <w:u w:val="single"/>
        </w:rPr>
        <w:br w:type="textWrapping"/>
      </w:r>
      <w:r>
        <w:rPr>
          <w:rFonts w:hint="eastAsia" w:asciiTheme="minorHAnsi" w:hAnsiTheme="minorHAnsi" w:eastAsiaTheme="majorEastAsia" w:cstheme="minorHAnsi"/>
          <w:szCs w:val="21"/>
        </w:rPr>
        <w:t xml:space="preserve">    本课程适合从初级到高级各个级别的英语学习者，旨在提升学生日常生活、工作或出行所需的英语综合运用能力，比如讨论新闻事件、分享意见、理解电影或网站的原文内容、撰写邮件或笔记、清晰准确地进行对话交流等。</w:t>
      </w:r>
    </w:p>
    <w:p>
      <w:pPr>
        <w:pStyle w:val="19"/>
        <w:widowControl/>
        <w:numPr>
          <w:ilvl w:val="0"/>
          <w:numId w:val="4"/>
        </w:numPr>
        <w:spacing w:line="360" w:lineRule="auto"/>
        <w:ind w:left="426" w:leftChars="103" w:hanging="210" w:hangingChars="100"/>
        <w:jc w:val="left"/>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国际商务沟通英语</w:t>
      </w:r>
      <w:r>
        <w:rPr>
          <w:rFonts w:hint="eastAsia" w:asciiTheme="minorHAnsi" w:hAnsiTheme="minorHAnsi" w:eastAsiaTheme="majorEastAsia" w:cstheme="minorHAnsi"/>
          <w:szCs w:val="21"/>
        </w:rPr>
        <w:t>（English for International Business Communication）</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本课程旨在提升学生在国际商务情境中的英语综合运用能力</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学生将</w:t>
      </w:r>
      <w:r>
        <w:rPr>
          <w:rFonts w:hint="eastAsia" w:asciiTheme="minorHAnsi" w:hAnsiTheme="minorHAnsi" w:eastAsiaTheme="majorEastAsia" w:cstheme="minorHAnsi"/>
          <w:szCs w:val="21"/>
        </w:rPr>
        <w:t>掌握</w:t>
      </w:r>
      <w:r>
        <w:rPr>
          <w:rFonts w:asciiTheme="minorHAnsi" w:hAnsiTheme="minorHAnsi" w:eastAsiaTheme="majorEastAsia" w:cstheme="minorHAnsi"/>
          <w:szCs w:val="21"/>
        </w:rPr>
        <w:t>商业专</w:t>
      </w:r>
    </w:p>
    <w:p>
      <w:pPr>
        <w:widowControl/>
        <w:spacing w:line="360" w:lineRule="auto"/>
        <w:ind w:left="210" w:leftChars="100" w:firstLine="10"/>
        <w:jc w:val="left"/>
        <w:rPr>
          <w:rFonts w:asciiTheme="minorHAnsi" w:hAnsiTheme="minorHAnsi" w:eastAsiaTheme="majorEastAsia" w:cstheme="minorHAnsi"/>
          <w:szCs w:val="21"/>
        </w:rPr>
      </w:pPr>
      <w:r>
        <w:rPr>
          <w:rFonts w:asciiTheme="minorHAnsi" w:hAnsiTheme="minorHAnsi" w:eastAsiaTheme="majorEastAsia" w:cstheme="minorHAnsi"/>
          <w:szCs w:val="21"/>
        </w:rPr>
        <w:t>业术语与实践</w:t>
      </w:r>
      <w:r>
        <w:rPr>
          <w:rFonts w:hint="eastAsia" w:asciiTheme="minorHAnsi" w:hAnsiTheme="minorHAnsi" w:eastAsiaTheme="majorEastAsia" w:cstheme="minorHAnsi"/>
          <w:szCs w:val="21"/>
        </w:rPr>
        <w:t>，提高商务演讲技巧，学习撰写不同类型的商务文件，以及如何积极地参与商务会议。课程共分为两个级别。</w:t>
      </w:r>
    </w:p>
    <w:p>
      <w:pPr>
        <w:pStyle w:val="19"/>
        <w:widowControl/>
        <w:numPr>
          <w:ilvl w:val="0"/>
          <w:numId w:val="4"/>
        </w:numPr>
        <w:spacing w:line="360" w:lineRule="auto"/>
        <w:ind w:left="426" w:leftChars="103" w:hanging="210" w:hangingChars="100"/>
        <w:jc w:val="left"/>
        <w:rPr>
          <w:rFonts w:asciiTheme="minorHAnsi" w:hAnsiTheme="minorHAnsi" w:eastAsiaTheme="majorEastAsia" w:cstheme="minorHAnsi"/>
          <w:szCs w:val="21"/>
        </w:rPr>
      </w:pPr>
      <w:r>
        <w:rPr>
          <w:rFonts w:hint="eastAsia" w:asciiTheme="minorHAnsi" w:hAnsiTheme="minorHAnsi" w:eastAsiaTheme="majorEastAsia" w:cstheme="minorHAnsi"/>
          <w:szCs w:val="21"/>
          <w:u w:val="single"/>
        </w:rPr>
        <w:t>学术英语</w:t>
      </w:r>
      <w:r>
        <w:rPr>
          <w:rFonts w:hint="eastAsia" w:asciiTheme="minorHAnsi" w:hAnsiTheme="minorHAnsi" w:eastAsiaTheme="majorEastAsia" w:cstheme="minorHAnsi"/>
          <w:szCs w:val="21"/>
        </w:rPr>
        <w:t>（English for Academic English）</w:t>
      </w:r>
    </w:p>
    <w:p>
      <w:pPr>
        <w:pStyle w:val="19"/>
        <w:widowControl/>
        <w:spacing w:line="360" w:lineRule="auto"/>
        <w:ind w:left="424" w:leftChars="202" w:firstLine="210" w:firstLineChars="1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本课程适合希望提升实用学术英语水平的学生。通过学习，学生可以更加自信地</w:t>
      </w:r>
    </w:p>
    <w:p>
      <w:pPr>
        <w:widowControl/>
        <w:spacing w:line="360" w:lineRule="auto"/>
        <w:ind w:left="426" w:leftChars="103" w:hanging="210" w:hangingChars="1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参加学术讲座、记录笔记、撰写学术文章、阅读学术内容、参与学术讨论以及进行学</w:t>
      </w:r>
    </w:p>
    <w:p>
      <w:pPr>
        <w:widowControl/>
        <w:spacing w:line="360" w:lineRule="auto"/>
        <w:ind w:left="426" w:leftChars="103" w:hanging="210" w:hangingChars="1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术演示。课程共分为三个级别。</w:t>
      </w:r>
    </w:p>
    <w:p>
      <w:pPr>
        <w:widowControl/>
        <w:spacing w:line="360" w:lineRule="auto"/>
        <w:ind w:left="218" w:leftChars="104" w:firstLine="401" w:firstLineChars="191"/>
        <w:jc w:val="left"/>
        <w:rPr>
          <w:rFonts w:asciiTheme="minorHAnsi" w:hAnsiTheme="minorHAnsi" w:eastAsiaTheme="majorEastAsia" w:cstheme="minorHAnsi"/>
          <w:szCs w:val="21"/>
        </w:rPr>
      </w:pPr>
    </w:p>
    <w:p>
      <w:pPr>
        <w:widowControl/>
        <w:spacing w:line="360" w:lineRule="auto"/>
        <w:ind w:left="218" w:leftChars="104" w:firstLine="401" w:firstLineChars="191"/>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昆士兰大学的语言文化课程每周的课时为约20小时， 每个班学生人数不超过18人，以保证最佳的教学效果。</w:t>
      </w:r>
    </w:p>
    <w:p>
      <w:pPr>
        <w:widowControl/>
        <w:spacing w:line="360" w:lineRule="auto"/>
        <w:ind w:firstLine="420" w:firstLineChars="200"/>
        <w:jc w:val="left"/>
        <w:rPr>
          <w:rFonts w:asciiTheme="minorHAnsi" w:hAnsiTheme="minorHAnsi" w:eastAsiaTheme="majorEastAsia" w:cstheme="minorHAnsi"/>
          <w:szCs w:val="21"/>
        </w:rPr>
      </w:pPr>
      <w:r>
        <w:drawing>
          <wp:anchor distT="0" distB="0" distL="114300" distR="114300" simplePos="0" relativeHeight="251685888" behindDoc="0" locked="0" layoutInCell="1" allowOverlap="1">
            <wp:simplePos x="0" y="0"/>
            <wp:positionH relativeFrom="column">
              <wp:posOffset>238760</wp:posOffset>
            </wp:positionH>
            <wp:positionV relativeFrom="paragraph">
              <wp:posOffset>31750</wp:posOffset>
            </wp:positionV>
            <wp:extent cx="4676775" cy="1946275"/>
            <wp:effectExtent l="0" t="0" r="9525"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76775" cy="1946275"/>
                    </a:xfrm>
                    <a:prstGeom prst="rect">
                      <a:avLst/>
                    </a:prstGeom>
                  </pic:spPr>
                </pic:pic>
              </a:graphicData>
            </a:graphic>
          </wp:anchor>
        </w:drawing>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文化活动</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课堂之余，学生可以免费或付费参加语言中心或昆大组织的各类文化体验活动，比如合唱团、口语俱乐部、体育活动、舞蹈社团、瑜伽与冥想、摄影、创业协会等。</w:t>
      </w:r>
    </w:p>
    <w:p>
      <w:pPr>
        <w:spacing w:line="360" w:lineRule="auto"/>
        <w:ind w:firstLine="420" w:firstLineChars="200"/>
        <w:rPr>
          <w:rFonts w:asciiTheme="minorHAnsi" w:hAnsiTheme="minorHAnsi" w:eastAsiaTheme="majorEastAsia" w:cstheme="minorHAnsi"/>
          <w:szCs w:val="21"/>
        </w:rPr>
      </w:pP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项目学生均可获得昆士兰大学正式注册的学生证，凭借学生证可在项目期内，按校方规定使用学校的校园设施与教育资源，包括图书馆、健身房、活动中心等。学生将入住由校方管理并安排的寄宿家庭（含餐），使学生能够更加近距离地体验当地社会文化，迅速提高自己的语言水平。</w:t>
      </w:r>
    </w:p>
    <w:p>
      <w:pPr>
        <w:spacing w:line="360" w:lineRule="auto"/>
        <w:ind w:firstLine="420" w:firstLineChars="200"/>
        <w:rPr>
          <w:rFonts w:cs="Calibri" w:asciiTheme="minorHAnsi" w:hAnsiTheme="minorHAnsi"/>
          <w:szCs w:val="21"/>
        </w:rPr>
      </w:pPr>
      <w:r>
        <w:drawing>
          <wp:anchor distT="0" distB="0" distL="114300" distR="114300" simplePos="0" relativeHeight="251693056" behindDoc="0" locked="0" layoutInCell="1" allowOverlap="1">
            <wp:simplePos x="0" y="0"/>
            <wp:positionH relativeFrom="column">
              <wp:posOffset>3633470</wp:posOffset>
            </wp:positionH>
            <wp:positionV relativeFrom="paragraph">
              <wp:posOffset>245745</wp:posOffset>
            </wp:positionV>
            <wp:extent cx="1762125" cy="1200150"/>
            <wp:effectExtent l="0" t="0" r="3175" b="635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62125" cy="1200150"/>
                    </a:xfrm>
                    <a:prstGeom prst="rect">
                      <a:avLst/>
                    </a:prstGeom>
                  </pic:spPr>
                </pic:pic>
              </a:graphicData>
            </a:graphic>
          </wp:anchor>
        </w:drawing>
      </w:r>
      <w:r>
        <w:drawing>
          <wp:anchor distT="0" distB="0" distL="114300" distR="114300" simplePos="0" relativeHeight="251692032" behindDoc="0" locked="0" layoutInCell="1" allowOverlap="1">
            <wp:simplePos x="0" y="0"/>
            <wp:positionH relativeFrom="column">
              <wp:posOffset>1804035</wp:posOffset>
            </wp:positionH>
            <wp:positionV relativeFrom="paragraph">
              <wp:posOffset>231775</wp:posOffset>
            </wp:positionV>
            <wp:extent cx="1828800" cy="1207135"/>
            <wp:effectExtent l="0" t="0" r="0" b="1206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28800" cy="1207135"/>
                    </a:xfrm>
                    <a:prstGeom prst="rect">
                      <a:avLst/>
                    </a:prstGeom>
                  </pic:spPr>
                </pic:pic>
              </a:graphicData>
            </a:graphic>
          </wp:anchor>
        </w:drawing>
      </w:r>
      <w:r>
        <w:drawing>
          <wp:anchor distT="0" distB="0" distL="114300" distR="114300" simplePos="0" relativeHeight="251691008" behindDoc="0" locked="0" layoutInCell="1" allowOverlap="1">
            <wp:simplePos x="0" y="0"/>
            <wp:positionH relativeFrom="column">
              <wp:posOffset>29210</wp:posOffset>
            </wp:positionH>
            <wp:positionV relativeFrom="paragraph">
              <wp:posOffset>245745</wp:posOffset>
            </wp:positionV>
            <wp:extent cx="1762125" cy="1188085"/>
            <wp:effectExtent l="0" t="0" r="3175" b="571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62125" cy="1188085"/>
                    </a:xfrm>
                    <a:prstGeom prst="rect">
                      <a:avLst/>
                    </a:prstGeom>
                  </pic:spPr>
                </pic:pic>
              </a:graphicData>
            </a:graphic>
          </wp:anchor>
        </w:drawing>
      </w:r>
    </w:p>
    <w:p>
      <w:pPr>
        <w:spacing w:line="360" w:lineRule="auto"/>
        <w:rPr>
          <w:rFonts w:cs="Calibri" w:asciiTheme="minorHAnsi" w:hAnsi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顺利完成所有课程，并通过学术考核的学生，将获得昆士兰大学出具的正式成绩单及学习证明。</w:t>
      </w:r>
    </w:p>
    <w:p>
      <w:pPr>
        <w:ind w:firstLine="420" w:firstLineChars="200"/>
        <w:rPr>
          <w:rFonts w:ascii="Calibri" w:hAnsi="Calibri" w:cs="Calibri"/>
        </w:rPr>
      </w:pPr>
      <w:r>
        <w:drawing>
          <wp:anchor distT="0" distB="0" distL="0" distR="0" simplePos="0" relativeHeight="251694080" behindDoc="0" locked="0" layoutInCell="1" allowOverlap="1">
            <wp:simplePos x="0" y="0"/>
            <wp:positionH relativeFrom="column">
              <wp:posOffset>266700</wp:posOffset>
            </wp:positionH>
            <wp:positionV relativeFrom="paragraph">
              <wp:posOffset>104140</wp:posOffset>
            </wp:positionV>
            <wp:extent cx="1981200" cy="2972435"/>
            <wp:effectExtent l="0" t="0" r="0" b="1206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1981200" cy="2972435"/>
                    </a:xfrm>
                    <a:prstGeom prst="rect">
                      <a:avLst/>
                    </a:prstGeom>
                  </pic:spPr>
                </pic:pic>
              </a:graphicData>
            </a:graphic>
          </wp:anchor>
        </w:drawing>
      </w: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hint="eastAsia" w:asciiTheme="minorHAnsi" w:hAnsiTheme="minorHAnsi" w:eastAsiaTheme="majorEastAsia" w:cstheme="minorHAnsi"/>
          <w:szCs w:val="21"/>
        </w:rPr>
        <w:t>图：昆士兰大学语言文化课程项目证书样图</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779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41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379"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约3,468澳元（约合人民币1.66万元）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379" w:type="dxa"/>
          </w:tcPr>
          <w:p>
            <w:pPr>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申请费、学费、学生服务费、医疗保险、与项目设计管理费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379" w:type="dxa"/>
          </w:tcPr>
          <w:p>
            <w:pPr>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国际机票、签证、住宿费与餐费、其它个人花费</w:t>
            </w:r>
          </w:p>
          <w:p>
            <w:r>
              <w:rPr>
                <w:rFonts w:hint="eastAsia" w:asciiTheme="minorHAnsi" w:hAnsiTheme="minorHAnsi" w:eastAsiaTheme="majorEastAsia" w:cstheme="minorHAnsi"/>
                <w:szCs w:val="21"/>
              </w:rPr>
              <w:t>注：参加语言文化课程的学生，可入住昆士兰大学管理的寄宿家庭，费用约为每周260澳元</w:t>
            </w:r>
          </w:p>
        </w:tc>
      </w:tr>
    </w:tbl>
    <w:p>
      <w:pPr>
        <w:widowControl/>
        <w:spacing w:line="360" w:lineRule="auto"/>
        <w:jc w:val="left"/>
        <w:rPr>
          <w:rFonts w:asciiTheme="minorHAnsi" w:hAnsiTheme="minorHAnsi" w:eastAsiaTheme="majorEastAsia" w:cstheme="minorHAnsi"/>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widowControl/>
        <w:numPr>
          <w:ilvl w:val="0"/>
          <w:numId w:val="5"/>
        </w:numPr>
        <w:spacing w:line="360" w:lineRule="auto"/>
        <w:ind w:firstLineChars="0"/>
        <w:jc w:val="left"/>
        <w:rPr>
          <w:rFonts w:cs="Calibri" w:asciiTheme="minorHAnsi" w:hAnsiTheme="minorHAnsi"/>
          <w:szCs w:val="21"/>
        </w:rPr>
      </w:pPr>
      <w:bookmarkStart w:id="0" w:name="_GoBack"/>
      <w:bookmarkEnd w:id="0"/>
      <w:r>
        <w:rPr>
          <w:rFonts w:asciiTheme="minorHAnsi" w:hAnsiTheme="minorHAnsi" w:eastAsiaTheme="majorEastAsia" w:cstheme="minorHAnsi"/>
          <w:b/>
          <w:kern w:val="0"/>
          <w:szCs w:val="21"/>
        </w:rPr>
        <w:t>选拔要求</w:t>
      </w:r>
    </w:p>
    <w:p>
      <w:pPr>
        <w:pStyle w:val="19"/>
        <w:numPr>
          <w:ilvl w:val="0"/>
          <w:numId w:val="6"/>
        </w:numPr>
        <w:spacing w:line="360" w:lineRule="auto"/>
        <w:ind w:left="284"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仅限本校全日制在校生；且成绩优异、道德品质好，在校期间未受过纪律处分，身心健康，能顺利完成</w:t>
      </w:r>
      <w:r>
        <w:rPr>
          <w:rFonts w:hint="eastAsia" w:asciiTheme="minorHAnsi" w:hAnsiTheme="minorHAnsi" w:eastAsiaTheme="majorEastAsia" w:cstheme="minorHAnsi"/>
          <w:szCs w:val="21"/>
        </w:rPr>
        <w:t>海外</w:t>
      </w:r>
      <w:r>
        <w:rPr>
          <w:rFonts w:asciiTheme="minorHAnsi" w:hAnsiTheme="minorHAnsi" w:eastAsiaTheme="majorEastAsia" w:cstheme="minorHAnsi"/>
          <w:szCs w:val="21"/>
        </w:rPr>
        <w:t>学习任务；</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英语要求：</w:t>
      </w:r>
      <w:r>
        <w:rPr>
          <w:rFonts w:asciiTheme="minorHAnsi" w:hAnsiTheme="minorHAnsi" w:eastAsiaTheme="majorEastAsia" w:cstheme="minorHAnsi"/>
          <w:szCs w:val="21"/>
        </w:rPr>
        <w:t>具有良好的英语基础</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入学参加昆士兰大学语言分级测试</w:t>
      </w:r>
      <w:r>
        <w:rPr>
          <w:rFonts w:hint="eastAsia" w:asciiTheme="minorHAnsi" w:hAnsiTheme="minorHAnsi" w:eastAsiaTheme="majorEastAsia" w:cstheme="minorHAnsi"/>
          <w:szCs w:val="21"/>
        </w:rPr>
        <w:t>；</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“国际商务沟通英语”需达到托福56（口语15，听力12）、或雅思5.0（单项不低于5.0）、或在分级测试中达到通用英语5级水平；</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“学术英语”需达到托福56（口语15，听力12、阅读12，写作17）、或雅思5.0 （单项不低于5.0）、或在分级测试中达到通用英语5级水平；</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注：如学生不具备托福雅思成绩，但在入学测试中达到国际商务沟通英语或学术英语所要求的级别，需要在项目开始的第一周向昆大语言中心学术经理提出申请并征得同意后，方可转入国际商务沟通英语或学术英语课程，否则仍将入读通用英语课程；</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家庭具有一定经济基础，能够提供访学所需学费及生活费；</w:t>
      </w:r>
    </w:p>
    <w:p>
      <w:pPr>
        <w:pStyle w:val="19"/>
        <w:numPr>
          <w:ilvl w:val="0"/>
          <w:numId w:val="6"/>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w:t>
      </w:r>
      <w:r>
        <w:rPr>
          <w:rFonts w:hint="eastAsia" w:asciiTheme="minorHAnsi" w:hAnsiTheme="minorHAnsi" w:eastAsiaTheme="majorEastAsia" w:cstheme="minorHAnsi"/>
          <w:szCs w:val="21"/>
        </w:rPr>
        <w:t>澳方</w:t>
      </w:r>
      <w:r>
        <w:rPr>
          <w:rFonts w:asciiTheme="minorHAnsi" w:hAnsiTheme="minorHAnsi" w:eastAsiaTheme="majorEastAsia" w:cstheme="minorHAnsi"/>
          <w:szCs w:val="21"/>
        </w:rPr>
        <w:t>大学的学术审核、以及我校院系及国际交流处的派出资格审核。</w:t>
      </w:r>
    </w:p>
    <w:p>
      <w:pPr>
        <w:pStyle w:val="19"/>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ind w:firstLine="283" w:firstLineChars="135"/>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 学生</w:t>
      </w:r>
      <w:r>
        <w:rPr>
          <w:rFonts w:asciiTheme="minorHAnsi" w:hAnsiTheme="minorHAnsi" w:eastAsiaTheme="majorEastAsia" w:cstheme="minorHAnsi"/>
          <w:kern w:val="0"/>
          <w:szCs w:val="21"/>
        </w:rPr>
        <w:t>本人提出申请，</w:t>
      </w:r>
      <w:r>
        <w:rPr>
          <w:rFonts w:hint="eastAsia" w:asciiTheme="minorHAnsi" w:hAnsiTheme="minorHAnsi" w:eastAsiaTheme="majorEastAsia" w:cstheme="minorHAnsi"/>
          <w:kern w:val="0"/>
          <w:szCs w:val="21"/>
        </w:rPr>
        <w:t>在</w:t>
      </w:r>
      <w:r>
        <w:rPr>
          <w:rFonts w:asciiTheme="minorHAnsi" w:hAnsiTheme="minorHAnsi" w:eastAsiaTheme="majorEastAsia" w:cstheme="minorHAnsi"/>
          <w:kern w:val="0"/>
          <w:szCs w:val="21"/>
        </w:rPr>
        <w:t>学校国际合作交流处（外事处）报名；</w:t>
      </w:r>
    </w:p>
    <w:p>
      <w:pPr>
        <w:spacing w:line="360" w:lineRule="auto"/>
        <w:ind w:left="281" w:leftChars="1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 同时登录项目选拔管理机构 -- 全美国际教育协会网站www.usiea.org填写《世界名校访学2019-2020学年冬春项目报名表》，网上报名的时间决定录取的顺序和安排宿舍的顺序</w:t>
      </w:r>
      <w:r>
        <w:rPr>
          <w:rFonts w:asciiTheme="minorHAnsi" w:hAnsiTheme="minorHAnsi" w:eastAsiaTheme="majorEastAsia" w:cstheme="minorHAnsi"/>
          <w:szCs w:val="21"/>
        </w:rPr>
        <w:t>；</w:t>
      </w:r>
    </w:p>
    <w:p>
      <w:pPr>
        <w:pStyle w:val="19"/>
        <w:numPr>
          <w:ilvl w:val="0"/>
          <w:numId w:val="7"/>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学生申请资料经初步审核后，参加面试确定预录取名单</w:t>
      </w:r>
      <w:r>
        <w:rPr>
          <w:rFonts w:asciiTheme="minorHAnsi" w:hAnsiTheme="minorHAnsi" w:eastAsiaTheme="majorEastAsia" w:cstheme="minorHAnsi"/>
          <w:szCs w:val="21"/>
        </w:rPr>
        <w:t>；</w:t>
      </w:r>
    </w:p>
    <w:p>
      <w:pPr>
        <w:pStyle w:val="19"/>
        <w:numPr>
          <w:ilvl w:val="0"/>
          <w:numId w:val="7"/>
        </w:numPr>
        <w:spacing w:line="360" w:lineRule="auto"/>
        <w:ind w:firstLineChars="0"/>
        <w:jc w:val="left"/>
        <w:rPr>
          <w:rFonts w:ascii="Calibri" w:hAnsi="Calibri" w:cs="Calibri"/>
          <w:sz w:val="22"/>
        </w:rPr>
      </w:pPr>
      <w:r>
        <w:rPr>
          <w:rFonts w:ascii="Calibri" w:hAnsi="Calibri" w:cs="Calibri"/>
          <w:sz w:val="22"/>
        </w:rPr>
        <w:t>学生提交正式申请材料并缴纳项目费用，获得学校录取及签证后赴</w:t>
      </w:r>
      <w:r>
        <w:rPr>
          <w:rFonts w:hint="eastAsia" w:ascii="Calibri" w:hAnsi="Calibri" w:cs="Calibri"/>
          <w:sz w:val="22"/>
        </w:rPr>
        <w:t>澳</w:t>
      </w:r>
      <w:r>
        <w:rPr>
          <w:rFonts w:ascii="Calibri" w:hAnsi="Calibri" w:cs="Calibri"/>
          <w:sz w:val="22"/>
        </w:rPr>
        <w:t>学习</w:t>
      </w:r>
      <w:r>
        <w:rPr>
          <w:rFonts w:hint="eastAsia" w:ascii="Calibri" w:hAnsi="Calibri" w:cs="Calibri"/>
          <w:sz w:val="22"/>
        </w:rPr>
        <w:t>；</w:t>
      </w:r>
    </w:p>
    <w:p>
      <w:pPr>
        <w:pStyle w:val="19"/>
        <w:spacing w:line="360" w:lineRule="auto"/>
        <w:ind w:left="281" w:firstLine="0" w:firstLineChars="0"/>
        <w:jc w:val="left"/>
        <w:rPr>
          <w:rFonts w:ascii="Calibri" w:hAnsi="Calibri" w:cs="Calibri"/>
          <w:sz w:val="22"/>
        </w:rPr>
      </w:pPr>
    </w:p>
    <w:p>
      <w:pPr>
        <w:widowControl/>
        <w:spacing w:line="360" w:lineRule="auto"/>
        <w:jc w:val="left"/>
        <w:rPr>
          <w:rStyle w:val="14"/>
          <w:rFonts w:cs="宋体" w:asciiTheme="minorHAnsi" w:hAnsiTheme="minorHAnsi"/>
          <w:color w:val="auto"/>
          <w:kern w:val="0"/>
          <w:szCs w:val="21"/>
        </w:rPr>
      </w:pPr>
      <w:r>
        <w:rPr>
          <w:rStyle w:val="14"/>
          <w:rFonts w:hint="eastAsia" w:cs="宋体" w:asciiTheme="minorHAnsi" w:hAnsiTheme="minorHAnsi"/>
          <w:color w:val="auto"/>
          <w:kern w:val="0"/>
          <w:szCs w:val="21"/>
        </w:rPr>
        <w:t>———————————————————————————————————————</w:t>
      </w:r>
    </w:p>
    <w:p>
      <w:pPr>
        <w:widowControl/>
        <w:jc w:val="left"/>
        <w:rPr>
          <w:rStyle w:val="14"/>
          <w:rFonts w:cs="宋体" w:asciiTheme="minorHAnsi" w:hAnsiTheme="minorHAnsi"/>
          <w:b/>
          <w:color w:val="auto"/>
          <w:kern w:val="0"/>
          <w:sz w:val="20"/>
          <w:szCs w:val="21"/>
        </w:rPr>
      </w:pPr>
      <w:r>
        <w:rPr>
          <w:rStyle w:val="14"/>
          <w:rFonts w:hint="eastAsia" w:cs="宋体" w:asciiTheme="minorHAnsi" w:hAnsiTheme="minorHAnsi"/>
          <w:b/>
          <w:color w:val="auto"/>
          <w:kern w:val="0"/>
          <w:sz w:val="20"/>
          <w:szCs w:val="21"/>
        </w:rPr>
        <w:t>关于全美国际教育协会</w:t>
      </w:r>
    </w:p>
    <w:p>
      <w:pPr>
        <w:widowControl/>
        <w:jc w:val="left"/>
        <w:rPr>
          <w:rStyle w:val="14"/>
          <w:rFonts w:cs="宋体" w:asciiTheme="minorHAnsi" w:hAnsiTheme="minorHAnsi"/>
          <w:b/>
          <w:color w:val="auto"/>
          <w:kern w:val="0"/>
          <w:sz w:val="20"/>
          <w:szCs w:val="21"/>
        </w:rPr>
      </w:pPr>
      <w:r>
        <w:fldChar w:fldCharType="begin"/>
      </w:r>
      <w:r>
        <w:instrText xml:space="preserve"> HYPERLINK "http://www.usiea.org" </w:instrText>
      </w:r>
      <w:r>
        <w:fldChar w:fldCharType="separate"/>
      </w:r>
      <w:r>
        <w:rPr>
          <w:rStyle w:val="14"/>
          <w:rFonts w:hint="eastAsia" w:cs="宋体" w:asciiTheme="minorHAnsi" w:hAnsiTheme="minorHAnsi"/>
          <w:b/>
          <w:kern w:val="0"/>
          <w:sz w:val="20"/>
          <w:szCs w:val="21"/>
        </w:rPr>
        <w:t>www.usiea.org</w:t>
      </w:r>
      <w:r>
        <w:rPr>
          <w:rStyle w:val="14"/>
          <w:rFonts w:hint="eastAsia" w:cs="宋体" w:asciiTheme="minorHAnsi" w:hAnsiTheme="minorHAnsi"/>
          <w:b/>
          <w:kern w:val="0"/>
          <w:sz w:val="20"/>
          <w:szCs w:val="21"/>
        </w:rPr>
        <w:fldChar w:fldCharType="end"/>
      </w:r>
    </w:p>
    <w:p>
      <w:pPr>
        <w:widowControl/>
        <w:jc w:val="left"/>
        <w:rPr>
          <w:rStyle w:val="14"/>
          <w:rFonts w:cs="宋体" w:asciiTheme="minorHAnsi" w:hAnsiTheme="minorHAnsi"/>
          <w:b/>
          <w:color w:val="auto"/>
          <w:kern w:val="0"/>
          <w:sz w:val="20"/>
          <w:szCs w:val="21"/>
        </w:rPr>
      </w:pPr>
    </w:p>
    <w:p>
      <w:pPr>
        <w:widowControl/>
        <w:jc w:val="left"/>
        <w:rPr>
          <w:rStyle w:val="14"/>
          <w:rFonts w:cs="宋体" w:asciiTheme="minorHAnsi" w:hAnsiTheme="minorHAnsi"/>
          <w:color w:val="auto"/>
          <w:kern w:val="0"/>
          <w:sz w:val="20"/>
          <w:szCs w:val="21"/>
        </w:rPr>
      </w:pPr>
      <w:r>
        <w:rPr>
          <w:rStyle w:val="14"/>
          <w:rFonts w:hint="eastAsia" w:cs="宋体" w:asciiTheme="minorHAnsi" w:hAnsiTheme="minorHAnsi"/>
          <w:color w:val="auto"/>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目。</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spacing w:line="360" w:lineRule="auto"/>
        <w:ind w:left="360"/>
        <w:rPr>
          <w:rFonts w:asciiTheme="minorHAnsi" w:hAnsiTheme="minorHAnsi" w:eastAsiaTheme="majorEastAsia" w:cstheme="minorHAnsi"/>
          <w:szCs w:val="21"/>
        </w:rPr>
      </w:pP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"mailto:visituq@yeah.net" </w:instrText>
      </w:r>
      <w:r>
        <w:fldChar w:fldCharType="separate"/>
      </w:r>
      <w:r>
        <w:rPr>
          <w:rStyle w:val="14"/>
          <w:rFonts w:hint="eastAsia" w:ascii="微软雅黑" w:hAnsi="微软雅黑" w:eastAsia="微软雅黑"/>
          <w:sz w:val="20"/>
          <w:szCs w:val="20"/>
          <w:shd w:val="clear" w:color="auto" w:fill="FFFFFF"/>
        </w:rPr>
        <w:t>visituq@yeah.net</w:t>
      </w:r>
      <w:r>
        <w:rPr>
          <w:rStyle w:val="14"/>
          <w:rFonts w:hint="eastAsia" w:ascii="微软雅黑" w:hAnsi="微软雅黑" w:eastAsia="微软雅黑"/>
          <w:sz w:val="20"/>
          <w:szCs w:val="20"/>
          <w:shd w:val="clear" w:color="auto" w:fill="FFFFFF"/>
        </w:rPr>
        <w:fldChar w:fldCharType="end"/>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7270CB5"/>
    <w:multiLevelType w:val="multilevel"/>
    <w:tmpl w:val="37270CB5"/>
    <w:lvl w:ilvl="0" w:tentative="0">
      <w:start w:val="1"/>
      <w:numFmt w:val="japaneseCounting"/>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394F4CFD"/>
    <w:multiLevelType w:val="multilevel"/>
    <w:tmpl w:val="394F4CFD"/>
    <w:lvl w:ilvl="0" w:tentative="0">
      <w:start w:val="3"/>
      <w:numFmt w:val="japaneseCounting"/>
      <w:lvlText w:val="%1、"/>
      <w:lvlJc w:val="left"/>
      <w:pPr>
        <w:ind w:left="440" w:hanging="440"/>
      </w:pPr>
      <w:rPr>
        <w:rFonts w:hint="default" w:eastAsia="宋体" w:cs="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EB2FA3"/>
    <w:multiLevelType w:val="multilevel"/>
    <w:tmpl w:val="5EEB2FA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5B47"/>
    <w:rsid w:val="00060047"/>
    <w:rsid w:val="0006181E"/>
    <w:rsid w:val="00065242"/>
    <w:rsid w:val="00067D4B"/>
    <w:rsid w:val="000820F9"/>
    <w:rsid w:val="000840CC"/>
    <w:rsid w:val="000860BB"/>
    <w:rsid w:val="00087DB0"/>
    <w:rsid w:val="0009206E"/>
    <w:rsid w:val="000954F4"/>
    <w:rsid w:val="00097FB0"/>
    <w:rsid w:val="000A0A86"/>
    <w:rsid w:val="000A2A22"/>
    <w:rsid w:val="000A4030"/>
    <w:rsid w:val="000A4429"/>
    <w:rsid w:val="000A5251"/>
    <w:rsid w:val="000A5300"/>
    <w:rsid w:val="000B1A29"/>
    <w:rsid w:val="000B24CB"/>
    <w:rsid w:val="000C058A"/>
    <w:rsid w:val="000C0A27"/>
    <w:rsid w:val="000C2F7C"/>
    <w:rsid w:val="000C39EE"/>
    <w:rsid w:val="000C3F5B"/>
    <w:rsid w:val="000C4E56"/>
    <w:rsid w:val="000C5C18"/>
    <w:rsid w:val="000C7850"/>
    <w:rsid w:val="000C7F9A"/>
    <w:rsid w:val="000D1A58"/>
    <w:rsid w:val="000D3060"/>
    <w:rsid w:val="000D4BC5"/>
    <w:rsid w:val="000E1209"/>
    <w:rsid w:val="000E192A"/>
    <w:rsid w:val="000E5365"/>
    <w:rsid w:val="000E71FC"/>
    <w:rsid w:val="000E7915"/>
    <w:rsid w:val="000F10F6"/>
    <w:rsid w:val="000F140D"/>
    <w:rsid w:val="000F168E"/>
    <w:rsid w:val="000F253C"/>
    <w:rsid w:val="000F6E7C"/>
    <w:rsid w:val="001013E1"/>
    <w:rsid w:val="001014E7"/>
    <w:rsid w:val="0010196F"/>
    <w:rsid w:val="001051AF"/>
    <w:rsid w:val="00106BA3"/>
    <w:rsid w:val="001073FA"/>
    <w:rsid w:val="00107687"/>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49FD"/>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DCA"/>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4A0C"/>
    <w:rsid w:val="00371B64"/>
    <w:rsid w:val="003738EA"/>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7DFD"/>
    <w:rsid w:val="00421790"/>
    <w:rsid w:val="0042204E"/>
    <w:rsid w:val="00426325"/>
    <w:rsid w:val="00437A33"/>
    <w:rsid w:val="004469A3"/>
    <w:rsid w:val="0045270B"/>
    <w:rsid w:val="0045275F"/>
    <w:rsid w:val="00454C45"/>
    <w:rsid w:val="00455CF2"/>
    <w:rsid w:val="004576B0"/>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F038D"/>
    <w:rsid w:val="006F3AA8"/>
    <w:rsid w:val="00700EA9"/>
    <w:rsid w:val="0070255A"/>
    <w:rsid w:val="0070385E"/>
    <w:rsid w:val="007045DC"/>
    <w:rsid w:val="00705BEF"/>
    <w:rsid w:val="00706179"/>
    <w:rsid w:val="007113DD"/>
    <w:rsid w:val="0071430B"/>
    <w:rsid w:val="00720659"/>
    <w:rsid w:val="0072201D"/>
    <w:rsid w:val="0072482C"/>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19B"/>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939"/>
    <w:rsid w:val="009927BE"/>
    <w:rsid w:val="00994EDE"/>
    <w:rsid w:val="009959F3"/>
    <w:rsid w:val="00995FFE"/>
    <w:rsid w:val="009A11C1"/>
    <w:rsid w:val="009A27F7"/>
    <w:rsid w:val="009A292D"/>
    <w:rsid w:val="009A3080"/>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58C"/>
    <w:rsid w:val="00A256C1"/>
    <w:rsid w:val="00A2663A"/>
    <w:rsid w:val="00A30D1A"/>
    <w:rsid w:val="00A31C85"/>
    <w:rsid w:val="00A32C2E"/>
    <w:rsid w:val="00A33A9E"/>
    <w:rsid w:val="00A35D0D"/>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66D7"/>
    <w:rsid w:val="00AB694F"/>
    <w:rsid w:val="00AC32C6"/>
    <w:rsid w:val="00AD5601"/>
    <w:rsid w:val="00AD7BA1"/>
    <w:rsid w:val="00AE0267"/>
    <w:rsid w:val="00AF1933"/>
    <w:rsid w:val="00AF5247"/>
    <w:rsid w:val="00AF78C6"/>
    <w:rsid w:val="00AF7CB4"/>
    <w:rsid w:val="00B00961"/>
    <w:rsid w:val="00B01ADE"/>
    <w:rsid w:val="00B06BA6"/>
    <w:rsid w:val="00B12237"/>
    <w:rsid w:val="00B12F3C"/>
    <w:rsid w:val="00B133E0"/>
    <w:rsid w:val="00B21C23"/>
    <w:rsid w:val="00B22EB0"/>
    <w:rsid w:val="00B24A6A"/>
    <w:rsid w:val="00B24FF7"/>
    <w:rsid w:val="00B2543C"/>
    <w:rsid w:val="00B26192"/>
    <w:rsid w:val="00B262CD"/>
    <w:rsid w:val="00B27D9C"/>
    <w:rsid w:val="00B316D1"/>
    <w:rsid w:val="00B33B11"/>
    <w:rsid w:val="00B33C5E"/>
    <w:rsid w:val="00B3755D"/>
    <w:rsid w:val="00B40A66"/>
    <w:rsid w:val="00B41090"/>
    <w:rsid w:val="00B50CF4"/>
    <w:rsid w:val="00B57332"/>
    <w:rsid w:val="00B57B39"/>
    <w:rsid w:val="00B60E9C"/>
    <w:rsid w:val="00B616D6"/>
    <w:rsid w:val="00B6632A"/>
    <w:rsid w:val="00B67C18"/>
    <w:rsid w:val="00B67D4F"/>
    <w:rsid w:val="00B74F9C"/>
    <w:rsid w:val="00B769E3"/>
    <w:rsid w:val="00B801E0"/>
    <w:rsid w:val="00B80489"/>
    <w:rsid w:val="00B83422"/>
    <w:rsid w:val="00B841C1"/>
    <w:rsid w:val="00B8765A"/>
    <w:rsid w:val="00B955B3"/>
    <w:rsid w:val="00BA15F6"/>
    <w:rsid w:val="00BB0CAA"/>
    <w:rsid w:val="00BB11A8"/>
    <w:rsid w:val="00BB2026"/>
    <w:rsid w:val="00BB3B92"/>
    <w:rsid w:val="00BC1BD9"/>
    <w:rsid w:val="00BC2BC9"/>
    <w:rsid w:val="00BC3B43"/>
    <w:rsid w:val="00BC52DF"/>
    <w:rsid w:val="00BC5535"/>
    <w:rsid w:val="00BD0BB7"/>
    <w:rsid w:val="00BD1289"/>
    <w:rsid w:val="00BD21C2"/>
    <w:rsid w:val="00BD3F00"/>
    <w:rsid w:val="00BD6A1A"/>
    <w:rsid w:val="00BE02A7"/>
    <w:rsid w:val="00BE2788"/>
    <w:rsid w:val="00BE3265"/>
    <w:rsid w:val="00BE6F4C"/>
    <w:rsid w:val="00BE7E70"/>
    <w:rsid w:val="00BF00E9"/>
    <w:rsid w:val="00BF460C"/>
    <w:rsid w:val="00BF535E"/>
    <w:rsid w:val="00BF5F9C"/>
    <w:rsid w:val="00BF64D4"/>
    <w:rsid w:val="00C02F99"/>
    <w:rsid w:val="00C03770"/>
    <w:rsid w:val="00C05D8E"/>
    <w:rsid w:val="00C06B20"/>
    <w:rsid w:val="00C06CBE"/>
    <w:rsid w:val="00C123C3"/>
    <w:rsid w:val="00C126DF"/>
    <w:rsid w:val="00C15DBB"/>
    <w:rsid w:val="00C22473"/>
    <w:rsid w:val="00C22E2C"/>
    <w:rsid w:val="00C246B9"/>
    <w:rsid w:val="00C25076"/>
    <w:rsid w:val="00C277CB"/>
    <w:rsid w:val="00C3376D"/>
    <w:rsid w:val="00C34A52"/>
    <w:rsid w:val="00C369C9"/>
    <w:rsid w:val="00C444EA"/>
    <w:rsid w:val="00C50DF8"/>
    <w:rsid w:val="00C5114A"/>
    <w:rsid w:val="00C53125"/>
    <w:rsid w:val="00C55BB5"/>
    <w:rsid w:val="00C57F33"/>
    <w:rsid w:val="00C64953"/>
    <w:rsid w:val="00C745E3"/>
    <w:rsid w:val="00C7467B"/>
    <w:rsid w:val="00C75C2E"/>
    <w:rsid w:val="00C766EF"/>
    <w:rsid w:val="00C773FC"/>
    <w:rsid w:val="00C807AA"/>
    <w:rsid w:val="00C80EE6"/>
    <w:rsid w:val="00C817A7"/>
    <w:rsid w:val="00C861B2"/>
    <w:rsid w:val="00C86975"/>
    <w:rsid w:val="00CA2A8B"/>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1BF2"/>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2BB6"/>
    <w:rsid w:val="00D83EBA"/>
    <w:rsid w:val="00D8505B"/>
    <w:rsid w:val="00D85062"/>
    <w:rsid w:val="00D96CBF"/>
    <w:rsid w:val="00DA100A"/>
    <w:rsid w:val="00DA205E"/>
    <w:rsid w:val="00DA25AD"/>
    <w:rsid w:val="00DA41DB"/>
    <w:rsid w:val="00DA73E5"/>
    <w:rsid w:val="00DA7689"/>
    <w:rsid w:val="00DB0090"/>
    <w:rsid w:val="00DB1679"/>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1DE1"/>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3DA"/>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7267"/>
    <w:rsid w:val="00F22886"/>
    <w:rsid w:val="00F24A30"/>
    <w:rsid w:val="00F27587"/>
    <w:rsid w:val="00F307F9"/>
    <w:rsid w:val="00F3131F"/>
    <w:rsid w:val="00F32538"/>
    <w:rsid w:val="00F34A00"/>
    <w:rsid w:val="00F34D93"/>
    <w:rsid w:val="00F4320A"/>
    <w:rsid w:val="00F435BA"/>
    <w:rsid w:val="00F4389F"/>
    <w:rsid w:val="00F4431B"/>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6BB"/>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D6404"/>
    <w:rsid w:val="00FE1AA9"/>
    <w:rsid w:val="00FE2B9E"/>
    <w:rsid w:val="00FE4679"/>
    <w:rsid w:val="00FE6123"/>
    <w:rsid w:val="00FE6555"/>
    <w:rsid w:val="00FE6E03"/>
    <w:rsid w:val="00FF442C"/>
    <w:rsid w:val="00FF51E1"/>
    <w:rsid w:val="00FF5862"/>
    <w:rsid w:val="00FF6DFD"/>
    <w:rsid w:val="409B387A"/>
    <w:rsid w:val="4B0920D1"/>
    <w:rsid w:val="62471AB3"/>
    <w:rsid w:val="69D5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5C390-0EBE-418D-9B02-3A9B4EF13C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501</Words>
  <Characters>2860</Characters>
  <Lines>23</Lines>
  <Paragraphs>6</Paragraphs>
  <TotalTime>1190</TotalTime>
  <ScaleCrop>false</ScaleCrop>
  <LinksUpToDate>false</LinksUpToDate>
  <CharactersWithSpaces>3355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2019-03-29T08:14:00Z</dcterms:created>
  <dc:creator>全美国际教育协会</dc:creator>
  <cp:lastModifiedBy>Linda</cp:lastModifiedBy>
  <cp:lastPrinted>2011-12-16T08:54:00Z</cp:lastPrinted>
  <dcterms:modified xsi:type="dcterms:W3CDTF">2019-08-21T11:55:08Z</dcterms:modified>
  <dc:title>加州大学河滨分校短期访学项目</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