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美国宾夕法尼亚</w:t>
      </w:r>
      <w:r>
        <w:rPr>
          <w:rFonts w:asciiTheme="minorHAnsi" w:hAnsiTheme="minorHAnsi" w:eastAsiaTheme="majorEastAsia" w:cstheme="minorHAnsi"/>
          <w:b/>
          <w:kern w:val="0"/>
          <w:sz w:val="32"/>
          <w:szCs w:val="21"/>
        </w:rPr>
        <w:t>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2020寒假访学项目</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学术英语</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University of Pennsylvania</w:t>
      </w:r>
    </w:p>
    <w:p>
      <w:pPr>
        <w:widowControl/>
        <w:spacing w:line="360" w:lineRule="auto"/>
        <w:jc w:val="center"/>
        <w:rPr>
          <w:rFonts w:asciiTheme="minorHAnsi" w:hAnsiTheme="minorHAnsi" w:eastAsiaTheme="majorEastAsia" w:cstheme="minorHAnsi"/>
          <w:b/>
          <w:kern w:val="0"/>
          <w:sz w:val="28"/>
          <w:szCs w:val="28"/>
        </w:rPr>
      </w:pPr>
      <w:r>
        <w:rPr>
          <w:rFonts w:asciiTheme="minorHAnsi" w:hAnsiTheme="minorHAnsi" w:eastAsiaTheme="majorEastAsia" w:cstheme="minorHAnsi"/>
          <w:b/>
          <w:sz w:val="28"/>
          <w:szCs w:val="28"/>
        </w:rPr>
        <w:t>Institute</w:t>
      </w:r>
      <w:r>
        <w:rPr>
          <w:rFonts w:hint="eastAsia" w:asciiTheme="minorHAnsi" w:hAnsiTheme="minorHAnsi" w:eastAsiaTheme="majorEastAsia" w:cstheme="minorHAnsi"/>
          <w:b/>
          <w:sz w:val="28"/>
          <w:szCs w:val="28"/>
        </w:rPr>
        <w:t xml:space="preserve"> for </w:t>
      </w:r>
      <w:r>
        <w:rPr>
          <w:rFonts w:asciiTheme="minorHAnsi" w:hAnsiTheme="minorHAnsi" w:eastAsiaTheme="majorEastAsia" w:cstheme="minorHAnsi"/>
          <w:b/>
          <w:sz w:val="28"/>
          <w:szCs w:val="28"/>
        </w:rPr>
        <w:t>Academic Studies</w:t>
      </w:r>
    </w:p>
    <w:p>
      <w:pPr>
        <w:widowControl/>
        <w:spacing w:line="360" w:lineRule="auto"/>
        <w:jc w:val="center"/>
        <w:rPr>
          <w:rFonts w:cs="Calibri" w:asciiTheme="minorHAnsi" w:hAnsiTheme="minorHAnsi"/>
          <w:b/>
          <w:kern w:val="0"/>
          <w:szCs w:val="21"/>
        </w:rPr>
      </w:pPr>
      <w:r>
        <w:rPr>
          <w:rFonts w:cs="Calibri" w:asciiTheme="minorHAnsi" w:hAnsiTheme="minorHAnsi"/>
          <w:b/>
          <w:kern w:val="0"/>
          <w:szCs w:val="21"/>
        </w:rPr>
        <w:t>20</w:t>
      </w:r>
      <w:r>
        <w:rPr>
          <w:rFonts w:hint="eastAsia" w:cs="Calibri" w:asciiTheme="minorHAnsi" w:hAnsiTheme="minorHAnsi"/>
          <w:b/>
          <w:kern w:val="0"/>
          <w:szCs w:val="21"/>
        </w:rPr>
        <w:t>20</w:t>
      </w:r>
      <w:r>
        <w:rPr>
          <w:rFonts w:cs="Calibri" w:asciiTheme="minorHAnsi" w:hAnsiTheme="minorHAnsi"/>
          <w:b/>
          <w:kern w:val="0"/>
          <w:szCs w:val="21"/>
        </w:rPr>
        <w:t>年</w:t>
      </w:r>
      <w:r>
        <w:rPr>
          <w:rFonts w:hint="eastAsia" w:cs="Calibri" w:asciiTheme="minorHAnsi" w:hAnsiTheme="minorHAnsi"/>
          <w:b/>
          <w:kern w:val="0"/>
          <w:szCs w:val="21"/>
        </w:rPr>
        <w:t xml:space="preserve">1月13日 </w:t>
      </w:r>
      <w:r>
        <w:rPr>
          <w:rFonts w:cs="Calibri" w:asciiTheme="minorHAnsi" w:hAnsiTheme="minorHAnsi"/>
          <w:b/>
          <w:kern w:val="0"/>
          <w:szCs w:val="21"/>
        </w:rPr>
        <w:t xml:space="preserve">– </w:t>
      </w:r>
      <w:r>
        <w:rPr>
          <w:rFonts w:hint="eastAsia" w:cs="Calibri" w:asciiTheme="minorHAnsi" w:hAnsiTheme="minorHAnsi"/>
          <w:b/>
          <w:kern w:val="0"/>
          <w:szCs w:val="21"/>
        </w:rPr>
        <w:t>2月7日，或2月10日 -</w:t>
      </w:r>
      <w:r>
        <w:rPr>
          <w:rFonts w:cs="Calibri" w:asciiTheme="minorHAnsi" w:hAnsiTheme="minorHAnsi"/>
          <w:b/>
          <w:kern w:val="0"/>
          <w:szCs w:val="21"/>
        </w:rPr>
        <w:t xml:space="preserve"> </w:t>
      </w:r>
      <w:r>
        <w:rPr>
          <w:rFonts w:hint="eastAsia" w:cs="Calibri" w:asciiTheme="minorHAnsi" w:hAnsiTheme="minorHAnsi"/>
          <w:b/>
          <w:kern w:val="0"/>
          <w:szCs w:val="21"/>
        </w:rPr>
        <w:t>3月6日</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cstheme="minorHAnsi"/>
          <w:kern w:val="0"/>
          <w:szCs w:val="21"/>
        </w:rPr>
        <w:t>宾夕法尼亚</w:t>
      </w:r>
      <w:r>
        <w:rPr>
          <w:rFonts w:asciiTheme="minorHAnsi" w:hAnsiTheme="minorHAnsi" w:cstheme="minorHAnsi"/>
          <w:kern w:val="0"/>
          <w:szCs w:val="21"/>
        </w:rPr>
        <w:t>大学</w:t>
      </w:r>
      <w:r>
        <w:rPr>
          <w:rFonts w:hint="eastAsia" w:asciiTheme="minorHAnsi" w:hAnsiTheme="minorHAnsi" w:cstheme="minorHAnsi"/>
          <w:kern w:val="0"/>
          <w:szCs w:val="21"/>
        </w:rPr>
        <w:t>是美国历史最悠久的五所大学之一，与耶鲁、哈佛、普林斯顿、康乃尔等八所大学共同组成“常春藤联盟(Ivy League)”，成为世界顶尖学府的代名词。</w:t>
      </w:r>
      <w:r>
        <w:rPr>
          <w:rFonts w:hint="eastAsia" w:asciiTheme="minorHAnsi" w:hAnsiTheme="minorHAnsi" w:eastAsiaTheme="majorEastAsia" w:cstheme="minorHAnsi"/>
          <w:kern w:val="0"/>
          <w:szCs w:val="21"/>
        </w:rPr>
        <w:t>宾夕法尼亚大学语言中心隶属于宾大文理学院，成立于1960年，50多年来积累了丰富英语教学的经验。每年有来自世界各地2000多名学生在此学习。</w:t>
      </w:r>
    </w:p>
    <w:p>
      <w:pPr>
        <w:widowControl/>
        <w:spacing w:line="360" w:lineRule="auto"/>
        <w:ind w:firstLine="420" w:firstLineChars="200"/>
        <w:jc w:val="left"/>
        <w:rPr>
          <w:rFonts w:asciiTheme="minorHAnsi" w:hAnsiTheme="minorHAnsi"/>
        </w:rPr>
      </w:pP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全美国际教育协会作为宾夕法尼亚大学在中国的正式授权机构，负责选拔优秀中国大学生，于2020年寒假前往宾夕法尼亚大学参加学术英语</w:t>
      </w:r>
      <w:r>
        <w:rPr>
          <w:rFonts w:hint="eastAsia" w:asciiTheme="minorHAnsi" w:hAnsiTheme="minorHAnsi" w:eastAsiaTheme="majorEastAsia" w:cstheme="minorHAnsi"/>
          <w:szCs w:val="21"/>
        </w:rPr>
        <w:t>课程</w:t>
      </w: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szCs w:val="21"/>
        </w:rPr>
        <w:t>参加项目的学生与宾夕法尼亚大学在读学生混合编班，由宾夕法尼亚大学进行统一的学术管理与学术考核，获得宾夕法尼亚大学正式成绩单。</w:t>
      </w:r>
    </w:p>
    <w:p>
      <w:pPr>
        <w:widowControl/>
        <w:spacing w:line="360" w:lineRule="auto"/>
        <w:ind w:firstLine="420" w:firstLineChars="200"/>
        <w:jc w:val="left"/>
        <w:rPr>
          <w:rFonts w:asciiTheme="minorHAnsi" w:hAnsiTheme="minorHAnsi"/>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【融入费城，体验常春藤院校英语课程】参加宾夕法尼亚大学的优质语言课程，每周20小时强化学习，有效提升语言技巧；</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【宾夕法尼亚大学成绩单和学习证书】获得宾夕法尼亚大学颁发的成绩单与项目证书，为个人履历添砖加瓦；</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【尽享校园设施与资源】 获得宾夕法尼亚大学学生证，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p>
      <w:pPr>
        <w:pStyle w:val="19"/>
        <w:widowControl/>
        <w:numPr>
          <w:ilvl w:val="0"/>
          <w:numId w:val="1"/>
        </w:numPr>
        <w:spacing w:line="360" w:lineRule="auto"/>
        <w:ind w:firstLineChars="0"/>
        <w:jc w:val="left"/>
        <w:rPr>
          <w:rFonts w:cs="Calibri" w:asciiTheme="minorHAnsi" w:hAnsiTheme="minorHAnsi"/>
          <w:szCs w:val="21"/>
        </w:rPr>
      </w:pPr>
      <w:r>
        <w:drawing>
          <wp:anchor distT="0" distB="0" distL="114300" distR="114300" simplePos="0" relativeHeight="251700224" behindDoc="0" locked="0" layoutInCell="1" allowOverlap="1">
            <wp:simplePos x="0" y="0"/>
            <wp:positionH relativeFrom="column">
              <wp:posOffset>88900</wp:posOffset>
            </wp:positionH>
            <wp:positionV relativeFrom="paragraph">
              <wp:posOffset>739775</wp:posOffset>
            </wp:positionV>
            <wp:extent cx="5314950" cy="22098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14950" cy="2209800"/>
                    </a:xfrm>
                    <a:prstGeom prst="rect">
                      <a:avLst/>
                    </a:prstGeom>
                  </pic:spPr>
                </pic:pic>
              </a:graphicData>
            </a:graphic>
          </wp:anchor>
        </w:drawing>
      </w:r>
      <w:r>
        <w:rPr>
          <w:rFonts w:hint="eastAsia" w:cs="Calibri" w:asciiTheme="minorHAnsi" w:hAnsiTheme="minorHAnsi"/>
          <w:szCs w:val="21"/>
        </w:rPr>
        <w:t>【丰富的课外生活安排，Work Hard, Play Harder】丰富多彩的美利坚文化体验，畅游费城等。</w:t>
      </w:r>
    </w:p>
    <w:p>
      <w:pPr>
        <w:pStyle w:val="19"/>
        <w:widowControl/>
        <w:spacing w:line="360" w:lineRule="auto"/>
        <w:ind w:firstLine="0" w:firstLineChars="0"/>
        <w:jc w:val="left"/>
        <w:rPr>
          <w:rFonts w:asciiTheme="minorHAnsi" w:hAnsiTheme="minorHAnsi" w:eastAsiaTheme="majorEastAsia" w:cstheme="minorHAnsi"/>
          <w:b/>
          <w:bCs/>
          <w:kern w:val="0"/>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三、宾夕法尼亚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cstheme="minorHAnsi"/>
          <w:kern w:val="0"/>
          <w:szCs w:val="21"/>
        </w:rPr>
        <w:t>创建于1740年，位于美国的历史名城费城，是美国第四古老的高等教育机构，也是美国第一所现代意义上的大学，创立了北美第一所医学院、第一所商学院（沃顿商学院）以及第一个学生会组织；</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cstheme="minorHAnsi"/>
          <w:kern w:val="0"/>
          <w:szCs w:val="21"/>
        </w:rPr>
        <w:t>与耶鲁、哈佛、普林斯顿、康乃尔等八所大学共同组成“常春藤联盟(Ivy League)”，成为世界顶尖学府的代名词；</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asciiTheme="minorHAnsi" w:hAnsiTheme="minorHAnsi" w:eastAsiaTheme="majorEastAsia" w:cstheme="minorHAnsi"/>
          <w:szCs w:val="21"/>
        </w:rPr>
        <w:t>201</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年</w:t>
      </w:r>
      <w:r>
        <w:rPr>
          <w:rFonts w:hint="eastAsia" w:asciiTheme="minorHAnsi" w:hAnsiTheme="minorHAnsi" w:eastAsiaTheme="majorEastAsia" w:cstheme="minorHAnsi"/>
          <w:szCs w:val="21"/>
        </w:rPr>
        <w:t xml:space="preserve"> </w:t>
      </w:r>
      <w:r>
        <w:rPr>
          <w:rFonts w:asciiTheme="minorHAnsi" w:hAnsiTheme="minorHAnsi" w:cstheme="minorHAnsi"/>
          <w:kern w:val="0"/>
          <w:szCs w:val="21"/>
        </w:rPr>
        <w:t>《美国新闻与世界报道》全</w:t>
      </w:r>
      <w:r>
        <w:rPr>
          <w:rFonts w:asciiTheme="minorHAnsi" w:hAnsiTheme="minorHAnsi" w:eastAsiaTheme="majorEastAsia" w:cstheme="minorHAnsi"/>
          <w:szCs w:val="21"/>
        </w:rPr>
        <w:t>美高校综合排名第</w:t>
      </w:r>
      <w:r>
        <w:rPr>
          <w:rFonts w:hint="eastAsia" w:asciiTheme="minorHAnsi" w:hAnsiTheme="minorHAnsi" w:eastAsiaTheme="majorEastAsia" w:cstheme="minorHAnsi"/>
          <w:szCs w:val="21"/>
        </w:rPr>
        <w:t>8、世界大学排名第16</w:t>
      </w:r>
      <w:r>
        <w:rPr>
          <w:rFonts w:asciiTheme="minorHAnsi" w:hAnsiTheme="minorHAnsi" w:eastAsiaTheme="majorEastAsia" w:cstheme="minorHAnsi"/>
          <w:szCs w:val="21"/>
        </w:rPr>
        <w:t>；</w:t>
      </w:r>
      <w:r>
        <w:rPr>
          <w:rFonts w:asciiTheme="minorHAnsi" w:hAnsiTheme="minorHAnsi" w:cstheme="minorHAnsi"/>
          <w:szCs w:val="21"/>
        </w:rPr>
        <w:t>201</w:t>
      </w:r>
      <w:r>
        <w:rPr>
          <w:rFonts w:hint="eastAsia" w:asciiTheme="minorHAnsi" w:hAnsiTheme="minorHAnsi" w:cstheme="minorHAnsi"/>
          <w:szCs w:val="21"/>
        </w:rPr>
        <w:t>9年Times</w:t>
      </w:r>
      <w:r>
        <w:rPr>
          <w:rFonts w:asciiTheme="minorHAnsi" w:hAnsiTheme="minorHAnsi" w:cstheme="minorHAnsi"/>
          <w:szCs w:val="21"/>
        </w:rPr>
        <w:t>世界大学排名第</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2；2018年</w:t>
      </w:r>
      <w:r>
        <w:rPr>
          <w:rFonts w:asciiTheme="minorHAnsi" w:hAnsiTheme="minorHAnsi" w:cstheme="minorHAnsi"/>
          <w:szCs w:val="21"/>
        </w:rPr>
        <w:t>上海交通大学</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18</w:t>
      </w:r>
      <w:r>
        <w:rPr>
          <w:rFonts w:asciiTheme="minorHAnsi" w:hAnsiTheme="minorHAnsi" w:eastAsiaTheme="majorEastAsia" w:cstheme="minorHAnsi"/>
          <w:szCs w:val="21"/>
        </w:rPr>
        <w:t xml:space="preserve">； </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eastAsiaTheme="majorEastAsia" w:cstheme="minorHAnsi"/>
          <w:szCs w:val="21"/>
        </w:rPr>
        <w:t>下设四个大本科生院：文理学院、工程学院、商学院及护理学院。</w:t>
      </w:r>
      <w:r>
        <w:rPr>
          <w:rFonts w:hint="eastAsia" w:asciiTheme="minorHAnsi" w:hAnsiTheme="minorHAnsi" w:cstheme="minorHAnsi"/>
          <w:kern w:val="0"/>
          <w:szCs w:val="21"/>
        </w:rPr>
        <w:t>金融专业和护理专业排名全美第一，教育学、经济学、医疗、历史学、法学、英语及商科其它专业皆排名全美前十。</w:t>
      </w:r>
    </w:p>
    <w:p>
      <w:pPr>
        <w:pStyle w:val="19"/>
        <w:spacing w:line="360" w:lineRule="auto"/>
        <w:ind w:left="840" w:firstLine="0" w:firstLineChars="0"/>
        <w:rPr>
          <w:rFonts w:ascii="Arial" w:hAnsi="Arial" w:cs="Arial"/>
          <w:color w:val="333333"/>
          <w:szCs w:val="21"/>
          <w:shd w:val="clear" w:color="auto" w:fill="FFFFFF"/>
        </w:rPr>
      </w:pPr>
    </w:p>
    <w:p>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2" w:firstLineChars="200"/>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学术英语：2020年1月13日–2月7日，或2月10日 -</w:t>
      </w:r>
      <w:r>
        <w:rPr>
          <w:rFonts w:asciiTheme="minorHAnsi" w:hAnsiTheme="minorHAnsi" w:eastAsiaTheme="majorEastAsia" w:cstheme="minorHAnsi"/>
          <w:b/>
          <w:bCs/>
          <w:szCs w:val="21"/>
        </w:rPr>
        <w:t xml:space="preserve"> </w:t>
      </w:r>
      <w:r>
        <w:rPr>
          <w:rFonts w:hint="eastAsia" w:asciiTheme="minorHAnsi" w:hAnsiTheme="minorHAnsi" w:eastAsiaTheme="majorEastAsia" w:cstheme="minorHAnsi"/>
          <w:b/>
          <w:bCs/>
          <w:szCs w:val="21"/>
        </w:rPr>
        <w:t>3月6日</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ascii="Calibri" w:hAnsi="Calibri" w:cs="Calibri"/>
        </w:rPr>
      </w:pPr>
      <w:r>
        <w:rPr>
          <w:rFonts w:hint="eastAsia" w:ascii="Calibri" w:hAnsi="Calibri" w:cs="Calibri"/>
        </w:rPr>
        <w:t>学术英语课程面向具有中高级英语水平的学生，每周20小时课程，由一门核心课程与两门选修课组成。</w:t>
      </w:r>
    </w:p>
    <w:p>
      <w:pPr>
        <w:spacing w:line="360" w:lineRule="auto"/>
        <w:ind w:firstLine="420" w:firstLineChars="200"/>
        <w:rPr>
          <w:rFonts w:ascii="Calibri" w:hAnsi="Calibri" w:cs="Calibri"/>
        </w:rPr>
      </w:pPr>
      <w:r>
        <w:rPr>
          <w:rFonts w:hint="eastAsia" w:ascii="Calibri" w:hAnsi="Calibri" w:cs="Calibri"/>
        </w:rPr>
        <w:t>核心课程</w:t>
      </w:r>
      <w:r>
        <w:rPr>
          <w:rFonts w:hint="eastAsia" w:cs="Calibri"/>
        </w:rPr>
        <w:t>主题为</w:t>
      </w:r>
      <w:r>
        <w:rPr>
          <w:rFonts w:hint="eastAsia" w:cs="Calibri" w:asciiTheme="minorEastAsia" w:hAnsiTheme="minorEastAsia" w:eastAsiaTheme="minorEastAsia"/>
        </w:rPr>
        <w:t>“探索费城：学术与文化体验”（</w:t>
      </w:r>
      <w:r>
        <w:rPr>
          <w:rFonts w:ascii="Calibri" w:hAnsi="Calibri" w:cs="Calibri"/>
          <w:bCs/>
        </w:rPr>
        <w:t>Exploring Philadelphia: An Academic and Cultural Experience</w:t>
      </w:r>
      <w:r>
        <w:rPr>
          <w:rFonts w:hint="eastAsia" w:ascii="Calibri" w:hAnsi="Calibri" w:cs="Calibri"/>
        </w:rPr>
        <w:t>）</w:t>
      </w:r>
      <w:r>
        <w:rPr>
          <w:rFonts w:hint="eastAsia" w:cs="Calibri" w:asciiTheme="minorEastAsia" w:hAnsiTheme="minorEastAsia" w:eastAsiaTheme="minorEastAsia"/>
        </w:rPr>
        <w:t>。</w:t>
      </w:r>
      <w:r>
        <w:rPr>
          <w:rFonts w:asciiTheme="majorEastAsia" w:hAnsiTheme="majorEastAsia" w:eastAsiaTheme="majorEastAsia"/>
          <w:bCs/>
          <w:iCs/>
          <w:szCs w:val="21"/>
        </w:rPr>
        <w:t>本</w:t>
      </w:r>
      <w:r>
        <w:rPr>
          <w:rFonts w:asciiTheme="majorEastAsia" w:hAnsiTheme="majorEastAsia" w:eastAsiaTheme="majorEastAsia"/>
          <w:szCs w:val="21"/>
        </w:rPr>
        <w:t>课程</w:t>
      </w:r>
      <w:r>
        <w:rPr>
          <w:rFonts w:hint="eastAsia" w:asciiTheme="majorEastAsia" w:hAnsiTheme="majorEastAsia" w:eastAsiaTheme="majorEastAsia"/>
          <w:szCs w:val="21"/>
        </w:rPr>
        <w:t>以</w:t>
      </w:r>
      <w:r>
        <w:rPr>
          <w:rFonts w:asciiTheme="majorEastAsia" w:hAnsiTheme="majorEastAsia" w:eastAsiaTheme="majorEastAsia"/>
          <w:szCs w:val="21"/>
        </w:rPr>
        <w:t>费城独特的文化和历史为起点，</w:t>
      </w:r>
      <w:r>
        <w:rPr>
          <w:rFonts w:hint="eastAsia" w:asciiTheme="majorEastAsia" w:hAnsiTheme="majorEastAsia" w:eastAsiaTheme="majorEastAsia"/>
          <w:szCs w:val="21"/>
        </w:rPr>
        <w:t>深化学生对于</w:t>
      </w:r>
      <w:r>
        <w:rPr>
          <w:rFonts w:asciiTheme="majorEastAsia" w:hAnsiTheme="majorEastAsia" w:eastAsiaTheme="majorEastAsia"/>
          <w:szCs w:val="21"/>
        </w:rPr>
        <w:t>美国的多元文化与历史的理解。</w:t>
      </w:r>
      <w:r>
        <w:rPr>
          <w:rFonts w:hint="eastAsia" w:asciiTheme="majorEastAsia" w:hAnsiTheme="majorEastAsia" w:eastAsiaTheme="majorEastAsia"/>
          <w:szCs w:val="21"/>
        </w:rPr>
        <w:t xml:space="preserve"> </w:t>
      </w:r>
      <w:r>
        <w:rPr>
          <w:rFonts w:asciiTheme="majorEastAsia" w:hAnsiTheme="majorEastAsia" w:eastAsiaTheme="majorEastAsia"/>
          <w:szCs w:val="21"/>
        </w:rPr>
        <w:t>学生</w:t>
      </w:r>
      <w:r>
        <w:rPr>
          <w:rFonts w:hint="eastAsia" w:asciiTheme="majorEastAsia" w:hAnsiTheme="majorEastAsia" w:eastAsiaTheme="majorEastAsia"/>
          <w:szCs w:val="21"/>
        </w:rPr>
        <w:t>需要</w:t>
      </w:r>
      <w:r>
        <w:rPr>
          <w:rFonts w:ascii="Calibri" w:hAnsi="Calibri" w:cs="Calibri"/>
          <w:bCs/>
        </w:rPr>
        <w:t>阅读</w:t>
      </w:r>
      <w:r>
        <w:rPr>
          <w:rFonts w:asciiTheme="majorEastAsia" w:hAnsiTheme="majorEastAsia" w:eastAsiaTheme="majorEastAsia"/>
          <w:szCs w:val="21"/>
        </w:rPr>
        <w:t>学术文章，参加讲座，参与学术讨论和演讲，开展独立的课题研究</w:t>
      </w:r>
      <w:r>
        <w:rPr>
          <w:rFonts w:hint="eastAsia" w:asciiTheme="majorEastAsia" w:hAnsiTheme="majorEastAsia" w:eastAsiaTheme="majorEastAsia"/>
          <w:szCs w:val="21"/>
        </w:rPr>
        <w:t>，</w:t>
      </w:r>
      <w:r>
        <w:rPr>
          <w:rFonts w:asciiTheme="majorEastAsia" w:hAnsiTheme="majorEastAsia" w:eastAsiaTheme="majorEastAsia"/>
          <w:szCs w:val="21"/>
        </w:rPr>
        <w:t>并创建个人网站，展示他们的</w:t>
      </w:r>
      <w:r>
        <w:rPr>
          <w:rFonts w:hint="eastAsia" w:asciiTheme="majorEastAsia" w:hAnsiTheme="majorEastAsia" w:eastAsiaTheme="majorEastAsia"/>
          <w:szCs w:val="21"/>
        </w:rPr>
        <w:t>研究</w:t>
      </w:r>
      <w:r>
        <w:rPr>
          <w:rFonts w:asciiTheme="majorEastAsia" w:hAnsiTheme="majorEastAsia" w:eastAsiaTheme="majorEastAsia"/>
          <w:szCs w:val="21"/>
        </w:rPr>
        <w:t>成果及在课程期间取得的国际文化经验。</w:t>
      </w:r>
      <w:r>
        <w:rPr>
          <w:rFonts w:hint="eastAsia" w:asciiTheme="majorEastAsia" w:hAnsiTheme="majorEastAsia" w:eastAsiaTheme="majorEastAsia"/>
          <w:szCs w:val="21"/>
        </w:rPr>
        <w:t>在这个过程中，学生的学术技能将得到全面的提升</w:t>
      </w:r>
      <w:r>
        <w:rPr>
          <w:rFonts w:hint="eastAsia" w:ascii="Calibri" w:hAnsi="Calibri" w:cs="Calibri"/>
        </w:rPr>
        <w:t>。</w:t>
      </w:r>
    </w:p>
    <w:p>
      <w:pPr>
        <w:widowControl/>
        <w:spacing w:line="360" w:lineRule="auto"/>
        <w:ind w:firstLine="420" w:firstLineChars="200"/>
        <w:jc w:val="left"/>
        <w:rPr>
          <w:rFonts w:ascii="Calibri" w:hAnsi="Calibri" w:cs="Calibri"/>
        </w:rPr>
      </w:pPr>
      <w:r>
        <w:rPr>
          <w:rFonts w:hint="eastAsia" w:ascii="Calibri" w:hAnsi="Calibri" w:cs="Calibri"/>
        </w:rPr>
        <w:t>除核心课程之外，学生还可以选择两门选修课，包括传播、创新与技术、领导力和市场营销等，围绕特定主题增强自身的词汇、听力、及口语表达能力。</w:t>
      </w:r>
    </w:p>
    <w:p>
      <w:pPr>
        <w:widowControl/>
        <w:spacing w:line="360" w:lineRule="auto"/>
        <w:ind w:firstLine="420" w:firstLineChars="200"/>
        <w:jc w:val="left"/>
        <w:rPr>
          <w:rFonts w:asciiTheme="minorHAnsi" w:hAnsiTheme="minorHAnsi" w:eastAsiaTheme="majorEastAsia" w:cstheme="minorHAnsi"/>
          <w:szCs w:val="21"/>
          <w:u w:val="single"/>
        </w:rPr>
      </w:pPr>
      <w:r>
        <w:drawing>
          <wp:anchor distT="0" distB="0" distL="114300" distR="114300" simplePos="0" relativeHeight="251698176" behindDoc="0" locked="0" layoutInCell="1" allowOverlap="1">
            <wp:simplePos x="0" y="0"/>
            <wp:positionH relativeFrom="column">
              <wp:posOffset>321945</wp:posOffset>
            </wp:positionH>
            <wp:positionV relativeFrom="paragraph">
              <wp:posOffset>106045</wp:posOffset>
            </wp:positionV>
            <wp:extent cx="4391025" cy="1939290"/>
            <wp:effectExtent l="0" t="0" r="9525"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391025" cy="1939290"/>
                    </a:xfrm>
                    <a:prstGeom prst="rect">
                      <a:avLst/>
                    </a:prstGeom>
                  </pic:spPr>
                </pic:pic>
              </a:graphicData>
            </a:graphic>
          </wp:anchor>
        </w:drawing>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p>
    <w:p>
      <w:pPr>
        <w:spacing w:line="360" w:lineRule="auto"/>
        <w:ind w:left="420" w:leftChars="200" w:firstLine="440" w:firstLineChars="200"/>
        <w:rPr>
          <w:rFonts w:cs="Calibri" w:asciiTheme="minorHAnsi" w:hAnsiTheme="minorHAnsi"/>
          <w:sz w:val="22"/>
          <w:szCs w:val="22"/>
        </w:rPr>
      </w:pPr>
    </w:p>
    <w:p>
      <w:pPr>
        <w:spacing w:line="360" w:lineRule="auto"/>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ind w:left="420" w:leftChars="200" w:firstLine="440" w:firstLineChars="200"/>
        <w:rPr>
          <w:rFonts w:cs="Calibri" w:asciiTheme="minorHAnsi" w:hAnsiTheme="minorHAnsi"/>
          <w:sz w:val="22"/>
          <w:szCs w:val="22"/>
        </w:rPr>
      </w:pPr>
    </w:p>
    <w:p>
      <w:pPr>
        <w:spacing w:line="360" w:lineRule="auto"/>
        <w:rPr>
          <w:rFonts w:cs="Calibri" w:asciiTheme="minorHAnsi" w:hAnsiTheme="minorHAnsi"/>
          <w:sz w:val="22"/>
          <w:szCs w:val="22"/>
        </w:rPr>
      </w:pPr>
    </w:p>
    <w:p>
      <w:pPr>
        <w:spacing w:line="360" w:lineRule="auto"/>
        <w:ind w:left="420" w:leftChars="200" w:firstLine="420" w:firstLineChars="200"/>
        <w:rPr>
          <w:rFonts w:cs="Calibri" w:asciiTheme="minorHAnsi" w:hAnsiTheme="minorHAnsi"/>
          <w:szCs w:val="21"/>
        </w:rPr>
      </w:pPr>
      <w:r>
        <w:rPr>
          <w:szCs w:val="21"/>
        </w:rPr>
        <w:drawing>
          <wp:anchor distT="0" distB="0" distL="114300" distR="114300" simplePos="0" relativeHeight="251691008" behindDoc="0" locked="0" layoutInCell="1" allowOverlap="1">
            <wp:simplePos x="0" y="0"/>
            <wp:positionH relativeFrom="margin">
              <wp:align>right</wp:align>
            </wp:positionH>
            <wp:positionV relativeFrom="paragraph">
              <wp:posOffset>2540</wp:posOffset>
            </wp:positionV>
            <wp:extent cx="1447800" cy="1572895"/>
            <wp:effectExtent l="0" t="0" r="0" b="825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572895"/>
                    </a:xfrm>
                    <a:prstGeom prst="rect">
                      <a:avLst/>
                    </a:prstGeom>
                  </pic:spPr>
                </pic:pic>
              </a:graphicData>
            </a:graphic>
          </wp:anchor>
        </w:drawing>
      </w:r>
      <w:r>
        <w:rPr>
          <w:rFonts w:hint="eastAsia" w:cs="Calibri" w:asciiTheme="minorHAnsi" w:hAnsiTheme="minorHAnsi"/>
          <w:szCs w:val="21"/>
        </w:rPr>
        <w:t>所有参加语言课程的学生均可获得宾夕法尼亚大学正式注册的学生证，凭借学生证可在项目期内，按校方规定使用学校的校园设施与教育资源，包括图书馆、健身房、活动中心等。</w:t>
      </w:r>
    </w:p>
    <w:p>
      <w:pPr>
        <w:rPr>
          <w:rFonts w:ascii="Calibri" w:hAnsi="Calibri" w:cs="Calibri"/>
        </w:rPr>
      </w:pPr>
    </w:p>
    <w:p>
      <w:pPr>
        <w:spacing w:line="360" w:lineRule="auto"/>
        <w:rPr>
          <w:rFonts w:cs="Calibri" w:asciiTheme="minorHAnsi" w:hAnsiTheme="minorHAnsi"/>
          <w:szCs w:val="21"/>
        </w:rPr>
      </w:pPr>
    </w:p>
    <w:p>
      <w:pPr>
        <w:spacing w:line="360" w:lineRule="auto"/>
        <w:rPr>
          <w:rFonts w:cs="Calibri" w:asciiTheme="minorHAnsi" w:hAnsi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顺利完成所有课程，并通过学术考核的学生，将获得宾夕法尼亚大学出具的正式成绩单及学习证明。</w:t>
      </w:r>
    </w:p>
    <w:p>
      <w:pPr>
        <w:ind w:firstLine="420" w:firstLineChars="200"/>
        <w:rPr>
          <w:rFonts w:asciiTheme="minorHAnsi" w:hAnsiTheme="minorHAnsi" w:eastAsiaTheme="majorEastAsia" w:cstheme="minorHAnsi"/>
          <w:szCs w:val="21"/>
        </w:rPr>
      </w:pPr>
      <w:r>
        <w:drawing>
          <wp:anchor distT="0" distB="0" distL="114300" distR="114300" simplePos="0" relativeHeight="251695104" behindDoc="0" locked="0" layoutInCell="1" allowOverlap="1">
            <wp:simplePos x="0" y="0"/>
            <wp:positionH relativeFrom="column">
              <wp:posOffset>149225</wp:posOffset>
            </wp:positionH>
            <wp:positionV relativeFrom="paragraph">
              <wp:posOffset>121920</wp:posOffset>
            </wp:positionV>
            <wp:extent cx="1495425" cy="1961515"/>
            <wp:effectExtent l="0" t="0" r="9525"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1961515"/>
                    </a:xfrm>
                    <a:prstGeom prst="rect">
                      <a:avLst/>
                    </a:prstGeom>
                  </pic:spPr>
                </pic:pic>
              </a:graphicData>
            </a:graphic>
          </wp:anchor>
        </w:drawing>
      </w:r>
    </w:p>
    <w:p>
      <w:pPr>
        <w:ind w:firstLine="420" w:firstLineChars="200"/>
        <w:rPr>
          <w:rFonts w:asciiTheme="minorHAnsi" w:hAnsiTheme="minorHAnsi" w:eastAsiaTheme="majorEastAsia" w:cstheme="minorHAnsi"/>
          <w:szCs w:val="21"/>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图</w:t>
      </w:r>
      <w:r>
        <w:rPr>
          <w:rFonts w:hint="eastAsia" w:asciiTheme="minorHAnsi" w:hAnsiTheme="minorHAnsi" w:eastAsiaTheme="majorEastAsia" w:cstheme="minorHAnsi"/>
          <w:szCs w:val="21"/>
        </w:rPr>
        <w:t>：</w:t>
      </w:r>
      <w:r>
        <w:rPr>
          <w:rFonts w:hint="eastAsia" w:cs="Calibri" w:asciiTheme="minorHAnsi" w:hAnsiTheme="minorHAnsi"/>
          <w:szCs w:val="21"/>
        </w:rPr>
        <w:t>宾大语言文化课程成绩单</w:t>
      </w:r>
    </w:p>
    <w:p>
      <w:pPr>
        <w:ind w:firstLine="420" w:firstLineChars="200"/>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语言文化课程：约4,295美元（约合人民币2.96万元）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申请费、学费、杂费、在读期间医疗保险及项目设计与管理费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国际机票、签证费、住宿费、个人生活费</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widowControl/>
        <w:numPr>
          <w:ilvl w:val="0"/>
          <w:numId w:val="3"/>
        </w:numPr>
        <w:spacing w:line="360" w:lineRule="auto"/>
        <w:ind w:firstLineChars="0"/>
        <w:jc w:val="left"/>
        <w:rPr>
          <w:rFonts w:cs="Calibri" w:asciiTheme="minorHAnsi" w:hAnsiTheme="minorHAnsi"/>
          <w:szCs w:val="21"/>
        </w:rPr>
      </w:pPr>
      <w:bookmarkStart w:id="0" w:name="_GoBack"/>
      <w:bookmarkEnd w:id="0"/>
      <w:r>
        <w:rPr>
          <w:rFonts w:asciiTheme="minorHAnsi" w:hAnsiTheme="minorHAnsi" w:eastAsiaTheme="majorEastAsia" w:cstheme="minorHAnsi"/>
          <w:b/>
          <w:kern w:val="0"/>
          <w:szCs w:val="21"/>
        </w:rPr>
        <w:t>选拔要求</w:t>
      </w:r>
    </w:p>
    <w:p>
      <w:pPr>
        <w:pStyle w:val="19"/>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全日制在校生；且成绩优异、道德品质好，在校期间未受过纪律处分，身心健康，能顺利完成在美学习任务；</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 本科和研究生均可申请；申请寒假学术英语的学生需达到托福40分或雅思5.0分以上，或在宾大语言内测中达到次中级以上水平；</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家庭具有一定经济基础，能够提供访学所需学费及生活费；</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通过全美国际教育协会的项目面试、宾夕法尼亚大学的学术审核、以及我校院系及</w:t>
      </w:r>
    </w:p>
    <w:p>
      <w:pPr>
        <w:pStyle w:val="19"/>
        <w:spacing w:line="360" w:lineRule="auto"/>
        <w:ind w:left="570"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国际交流处的派出资格审核</w:t>
      </w:r>
      <w:r>
        <w:rPr>
          <w:rFonts w:asciiTheme="minorHAnsi" w:hAnsiTheme="minorHAnsi" w:eastAsiaTheme="majorEastAsia" w:cstheme="minorHAnsi"/>
          <w:szCs w:val="21"/>
        </w:rPr>
        <w:t>。</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ind w:firstLine="283" w:firstLineChars="135"/>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 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学校国际合作交流处（外事处）报名；</w:t>
      </w:r>
    </w:p>
    <w:p>
      <w:pPr>
        <w:spacing w:line="360" w:lineRule="auto"/>
        <w:ind w:left="281" w:leftChars="1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 同时登录项目选拔管理机构 -- 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w:t>
      </w:r>
    </w:p>
    <w:p>
      <w:pPr>
        <w:spacing w:line="360" w:lineRule="auto"/>
        <w:ind w:left="701" w:leftChars="3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名校访学2019-2020学年冬春项目报名表》，网上报名的时间决定录取的顺序和安排宿舍的顺序</w:t>
      </w:r>
      <w:r>
        <w:rPr>
          <w:rFonts w:asciiTheme="minorHAnsi" w:hAnsiTheme="minorHAnsi" w:eastAsiaTheme="majorEastAsia" w:cstheme="minorHAnsi"/>
          <w:szCs w:val="21"/>
        </w:rPr>
        <w:t>；</w:t>
      </w:r>
    </w:p>
    <w:p>
      <w:pPr>
        <w:pStyle w:val="19"/>
        <w:numPr>
          <w:ilvl w:val="0"/>
          <w:numId w:val="5"/>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学生申请资料经初步审核后，参加面试确定预录取名单</w:t>
      </w:r>
      <w:r>
        <w:rPr>
          <w:rFonts w:asciiTheme="minorHAnsi" w:hAnsiTheme="minorHAnsi" w:eastAsiaTheme="majorEastAsia" w:cstheme="minorHAnsi"/>
          <w:szCs w:val="21"/>
        </w:rPr>
        <w:t>；</w:t>
      </w:r>
    </w:p>
    <w:p>
      <w:pPr>
        <w:pStyle w:val="19"/>
        <w:numPr>
          <w:ilvl w:val="0"/>
          <w:numId w:val="5"/>
        </w:numPr>
        <w:spacing w:line="360" w:lineRule="auto"/>
        <w:ind w:firstLineChars="0"/>
        <w:jc w:val="left"/>
        <w:rPr>
          <w:rFonts w:asciiTheme="minorHAnsi" w:hAnsiTheme="minorHAnsi" w:eastAsiaTheme="majorEastAsia" w:cstheme="minorHAnsi"/>
          <w:szCs w:val="21"/>
        </w:rPr>
      </w:pPr>
      <w:r>
        <w:rPr>
          <w:rFonts w:hint="eastAsia" w:ascii="Calibri" w:hAnsi="Calibri" w:cs="Calibri"/>
          <w:sz w:val="22"/>
        </w:rPr>
        <w:t xml:space="preserve"> </w:t>
      </w:r>
      <w:r>
        <w:rPr>
          <w:rFonts w:asciiTheme="minorHAnsi" w:hAnsiTheme="minorHAnsi" w:eastAsiaTheme="majorEastAsia" w:cstheme="minorHAnsi"/>
          <w:szCs w:val="21"/>
        </w:rPr>
        <w:t>学生提交正式申请材料并缴纳项目费用，获得学校录取及签证后赴</w:t>
      </w:r>
      <w:r>
        <w:rPr>
          <w:rFonts w:hint="eastAsia" w:asciiTheme="minorHAnsi" w:hAnsiTheme="minorHAnsi" w:eastAsiaTheme="majorEastAsia" w:cstheme="minorHAnsi"/>
          <w:szCs w:val="21"/>
        </w:rPr>
        <w:t>美</w:t>
      </w:r>
      <w:r>
        <w:rPr>
          <w:rFonts w:asciiTheme="minorHAnsi" w:hAnsiTheme="minorHAnsi" w:eastAsiaTheme="majorEastAsia" w:cstheme="minorHAnsi"/>
          <w:szCs w:val="21"/>
        </w:rPr>
        <w:t>学习</w:t>
      </w:r>
      <w:r>
        <w:rPr>
          <w:rFonts w:hint="eastAsia" w:asciiTheme="minorHAnsi" w:hAnsiTheme="minorHAnsi" w:eastAsiaTheme="majorEastAsia" w:cstheme="minorHAnsi"/>
          <w:szCs w:val="21"/>
        </w:rPr>
        <w:t>。</w:t>
      </w:r>
    </w:p>
    <w:p>
      <w:pPr>
        <w:spacing w:line="360" w:lineRule="auto"/>
        <w:ind w:left="360"/>
        <w:rPr>
          <w:rFonts w:asciiTheme="minorHAnsi" w:hAnsiTheme="minorHAnsi" w:eastAsiaTheme="majorEastAsia" w:cstheme="minorHAnsi"/>
          <w:szCs w:val="21"/>
        </w:rPr>
      </w:pPr>
    </w:p>
    <w:p>
      <w:pPr>
        <w:widowControl/>
        <w:spacing w:line="360" w:lineRule="auto"/>
        <w:jc w:val="left"/>
        <w:rPr>
          <w:rStyle w:val="14"/>
          <w:rFonts w:cs="宋体" w:asciiTheme="minorHAnsi" w:hAnsiTheme="minorHAnsi"/>
          <w:color w:val="auto"/>
          <w:kern w:val="0"/>
          <w:szCs w:val="21"/>
        </w:rPr>
      </w:pPr>
      <w:r>
        <w:rPr>
          <w:rStyle w:val="14"/>
          <w:rFonts w:hint="eastAsia" w:cs="宋体" w:asciiTheme="minorHAnsi" w:hAnsiTheme="minorHAnsi"/>
          <w:color w:val="auto"/>
          <w:kern w:val="0"/>
          <w:szCs w:val="21"/>
        </w:rPr>
        <w:t>———————————————————————————————————————</w:t>
      </w:r>
    </w:p>
    <w:p>
      <w:pPr>
        <w:widowControl/>
        <w:jc w:val="left"/>
        <w:rPr>
          <w:rStyle w:val="14"/>
          <w:rFonts w:cs="宋体" w:asciiTheme="minorHAnsi" w:hAnsiTheme="minorHAnsi"/>
          <w:b/>
          <w:color w:val="auto"/>
          <w:kern w:val="0"/>
          <w:sz w:val="20"/>
          <w:szCs w:val="21"/>
        </w:rPr>
      </w:pPr>
      <w:r>
        <w:rPr>
          <w:rStyle w:val="14"/>
          <w:rFonts w:hint="eastAsia" w:cs="宋体" w:asciiTheme="minorHAnsi" w:hAnsiTheme="minorHAnsi"/>
          <w:b/>
          <w:color w:val="auto"/>
          <w:kern w:val="0"/>
          <w:sz w:val="20"/>
          <w:szCs w:val="21"/>
        </w:rPr>
        <w:t>关于全美国际教育协会</w:t>
      </w:r>
    </w:p>
    <w:p>
      <w:pPr>
        <w:widowControl/>
        <w:jc w:val="left"/>
        <w:rPr>
          <w:rStyle w:val="14"/>
          <w:rFonts w:cs="宋体" w:asciiTheme="minorHAnsi" w:hAnsiTheme="minorHAnsi"/>
          <w:b/>
          <w:color w:val="auto"/>
          <w:kern w:val="0"/>
          <w:sz w:val="20"/>
          <w:szCs w:val="21"/>
        </w:rPr>
      </w:pPr>
      <w:r>
        <w:fldChar w:fldCharType="begin"/>
      </w:r>
      <w:r>
        <w:instrText xml:space="preserve"> HYPERLINK "http://www.usiea.org" </w:instrText>
      </w:r>
      <w:r>
        <w:fldChar w:fldCharType="separate"/>
      </w:r>
      <w:r>
        <w:rPr>
          <w:rStyle w:val="14"/>
          <w:rFonts w:hint="eastAsia" w:cs="宋体" w:asciiTheme="minorHAnsi" w:hAnsiTheme="minorHAnsi"/>
          <w:b/>
          <w:kern w:val="0"/>
          <w:sz w:val="20"/>
          <w:szCs w:val="21"/>
        </w:rPr>
        <w:t>www.usiea.org</w:t>
      </w:r>
      <w:r>
        <w:rPr>
          <w:rStyle w:val="14"/>
          <w:rFonts w:hint="eastAsia" w:cs="宋体" w:asciiTheme="minorHAnsi" w:hAnsiTheme="minorHAnsi"/>
          <w:b/>
          <w:kern w:val="0"/>
          <w:sz w:val="20"/>
          <w:szCs w:val="21"/>
        </w:rPr>
        <w:fldChar w:fldCharType="end"/>
      </w:r>
    </w:p>
    <w:p>
      <w:pPr>
        <w:widowControl/>
        <w:jc w:val="left"/>
        <w:rPr>
          <w:rStyle w:val="14"/>
          <w:rFonts w:cs="宋体" w:asciiTheme="minorHAnsi" w:hAnsiTheme="minorHAnsi"/>
          <w:b/>
          <w:color w:val="auto"/>
          <w:kern w:val="0"/>
          <w:sz w:val="20"/>
          <w:szCs w:val="21"/>
        </w:rPr>
      </w:pPr>
    </w:p>
    <w:p>
      <w:pPr>
        <w:widowControl/>
        <w:jc w:val="left"/>
        <w:rPr>
          <w:rStyle w:val="14"/>
          <w:rFonts w:cs="宋体" w:asciiTheme="minorHAnsi" w:hAnsiTheme="minorHAnsi"/>
          <w:color w:val="auto"/>
          <w:kern w:val="0"/>
          <w:sz w:val="20"/>
          <w:szCs w:val="21"/>
        </w:rPr>
      </w:pPr>
      <w:r>
        <w:rPr>
          <w:rStyle w:val="14"/>
          <w:rFonts w:hint="eastAsia" w:cs="宋体" w:asciiTheme="minorHAnsi" w:hAnsiTheme="minorHAnsi"/>
          <w:color w:val="auto"/>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ind w:left="360"/>
        <w:rPr>
          <w:rFonts w:asciiTheme="minorHAnsi" w:hAnsiTheme="minorHAnsi" w:eastAsiaTheme="majorEastAsia" w:cstheme="minorHAnsi"/>
          <w:szCs w:val="21"/>
        </w:rPr>
      </w:pP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"mailto:visitupenn@yeah.net" </w:instrText>
      </w:r>
      <w:r>
        <w:fldChar w:fldCharType="separate"/>
      </w:r>
      <w:r>
        <w:rPr>
          <w:rStyle w:val="14"/>
          <w:rFonts w:ascii="Calibri" w:hAnsi="Calibri" w:cs="Calibri"/>
          <w:kern w:val="0"/>
          <w:sz w:val="22"/>
        </w:rPr>
        <w:t>visit</w:t>
      </w:r>
      <w:r>
        <w:rPr>
          <w:rStyle w:val="14"/>
          <w:rFonts w:hint="eastAsia" w:ascii="Calibri" w:hAnsi="Calibri" w:cs="Calibri"/>
          <w:kern w:val="0"/>
          <w:sz w:val="22"/>
        </w:rPr>
        <w:t>upenn</w:t>
      </w:r>
      <w:r>
        <w:rPr>
          <w:rStyle w:val="14"/>
          <w:rFonts w:ascii="Calibri" w:hAnsi="Calibri" w:cs="Calibri"/>
          <w:kern w:val="0"/>
          <w:sz w:val="22"/>
        </w:rPr>
        <w:t>@yeah.net</w:t>
      </w:r>
      <w:r>
        <w:rPr>
          <w:rStyle w:val="14"/>
          <w:rFonts w:ascii="Calibri" w:hAnsi="Calibri" w:cs="Calibri"/>
          <w:kern w:val="0"/>
          <w:sz w:val="22"/>
        </w:rPr>
        <w:fldChar w:fldCharType="end"/>
      </w:r>
      <w:r>
        <w:rPr>
          <w:rStyle w:val="14"/>
          <w:rFonts w:asciiTheme="minorHAnsi" w:hAnsiTheme="minorHAnsi"/>
        </w:rPr>
        <w:t xml:space="preserve"> </w:t>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0576CFC"/>
    <w:multiLevelType w:val="multilevel"/>
    <w:tmpl w:val="20576CF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5861"/>
    <w:rsid w:val="00046229"/>
    <w:rsid w:val="000519A2"/>
    <w:rsid w:val="00051A3D"/>
    <w:rsid w:val="0005389A"/>
    <w:rsid w:val="00055B47"/>
    <w:rsid w:val="00060047"/>
    <w:rsid w:val="0006181E"/>
    <w:rsid w:val="00065242"/>
    <w:rsid w:val="0006767F"/>
    <w:rsid w:val="00067D4B"/>
    <w:rsid w:val="000820F9"/>
    <w:rsid w:val="000840CC"/>
    <w:rsid w:val="000860BB"/>
    <w:rsid w:val="00087DB0"/>
    <w:rsid w:val="0009206E"/>
    <w:rsid w:val="000954F4"/>
    <w:rsid w:val="00097FB0"/>
    <w:rsid w:val="000A0A86"/>
    <w:rsid w:val="000A2A22"/>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35F3"/>
    <w:rsid w:val="000F6E7C"/>
    <w:rsid w:val="001013E1"/>
    <w:rsid w:val="001014E7"/>
    <w:rsid w:val="0010196F"/>
    <w:rsid w:val="001051AF"/>
    <w:rsid w:val="00106BA3"/>
    <w:rsid w:val="00107687"/>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779EE"/>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0B56"/>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1600"/>
    <w:rsid w:val="00342D9D"/>
    <w:rsid w:val="00342E7E"/>
    <w:rsid w:val="003440CB"/>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7DFD"/>
    <w:rsid w:val="00421790"/>
    <w:rsid w:val="0042204E"/>
    <w:rsid w:val="00426325"/>
    <w:rsid w:val="00437A33"/>
    <w:rsid w:val="004469A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31B7"/>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0CD"/>
    <w:rsid w:val="00775505"/>
    <w:rsid w:val="00776AE1"/>
    <w:rsid w:val="00776C3B"/>
    <w:rsid w:val="00780093"/>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EB0"/>
    <w:rsid w:val="00B24A6A"/>
    <w:rsid w:val="00B24FF7"/>
    <w:rsid w:val="00B2543C"/>
    <w:rsid w:val="00B260DD"/>
    <w:rsid w:val="00B26192"/>
    <w:rsid w:val="00B262CD"/>
    <w:rsid w:val="00B27D9C"/>
    <w:rsid w:val="00B316D1"/>
    <w:rsid w:val="00B33B11"/>
    <w:rsid w:val="00B33C5E"/>
    <w:rsid w:val="00B3755D"/>
    <w:rsid w:val="00B40A66"/>
    <w:rsid w:val="00B41090"/>
    <w:rsid w:val="00B50CF4"/>
    <w:rsid w:val="00B57332"/>
    <w:rsid w:val="00B57B39"/>
    <w:rsid w:val="00B60E9C"/>
    <w:rsid w:val="00B616D6"/>
    <w:rsid w:val="00B6632A"/>
    <w:rsid w:val="00B67C18"/>
    <w:rsid w:val="00B67D4F"/>
    <w:rsid w:val="00B74F9C"/>
    <w:rsid w:val="00B769E3"/>
    <w:rsid w:val="00B801E0"/>
    <w:rsid w:val="00B80489"/>
    <w:rsid w:val="00B83422"/>
    <w:rsid w:val="00B841C1"/>
    <w:rsid w:val="00B8765A"/>
    <w:rsid w:val="00B955B3"/>
    <w:rsid w:val="00BA15F6"/>
    <w:rsid w:val="00BB0CAA"/>
    <w:rsid w:val="00BB11A8"/>
    <w:rsid w:val="00BB2026"/>
    <w:rsid w:val="00BB3B92"/>
    <w:rsid w:val="00BC1BD9"/>
    <w:rsid w:val="00BC2BC9"/>
    <w:rsid w:val="00BC3B43"/>
    <w:rsid w:val="00BC52DF"/>
    <w:rsid w:val="00BC5535"/>
    <w:rsid w:val="00BD0BB7"/>
    <w:rsid w:val="00BD1289"/>
    <w:rsid w:val="00BD21C2"/>
    <w:rsid w:val="00BD3F00"/>
    <w:rsid w:val="00BD603B"/>
    <w:rsid w:val="00BD6A1A"/>
    <w:rsid w:val="00BE02A7"/>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50DF8"/>
    <w:rsid w:val="00C5114A"/>
    <w:rsid w:val="00C53125"/>
    <w:rsid w:val="00C55BB5"/>
    <w:rsid w:val="00C57F33"/>
    <w:rsid w:val="00C60B07"/>
    <w:rsid w:val="00C64953"/>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1679"/>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4766F"/>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D5462"/>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6918"/>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310C86"/>
    <w:rsid w:val="166C66DA"/>
    <w:rsid w:val="182D472D"/>
    <w:rsid w:val="26C7050D"/>
    <w:rsid w:val="2A366BF2"/>
    <w:rsid w:val="31386135"/>
    <w:rsid w:val="3BF561E7"/>
    <w:rsid w:val="3C962C19"/>
    <w:rsid w:val="48DC283F"/>
    <w:rsid w:val="4C1F304A"/>
    <w:rsid w:val="546B3CFC"/>
    <w:rsid w:val="62B14C4E"/>
    <w:rsid w:val="63BA0C03"/>
    <w:rsid w:val="6E081C2E"/>
    <w:rsid w:val="74B92C7C"/>
    <w:rsid w:val="74B94388"/>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09BDE-4675-415C-950E-B1A82428A6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420</Words>
  <Characters>2399</Characters>
  <Lines>19</Lines>
  <Paragraphs>5</Paragraphs>
  <TotalTime>20</TotalTime>
  <ScaleCrop>false</ScaleCrop>
  <LinksUpToDate>false</LinksUpToDate>
  <CharactersWithSpaces>2814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2019-03-29T08:14:00Z</dcterms:created>
  <dc:creator>全美国际教育协会</dc:creator>
  <cp:lastModifiedBy>Linda</cp:lastModifiedBy>
  <cp:lastPrinted>2011-12-16T08:54:00Z</cp:lastPrinted>
  <dcterms:modified xsi:type="dcterms:W3CDTF">2019-08-21T11:45:32Z</dcterms:modified>
  <dc:title>加州大学河滨分校短期访学项目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