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ascii="等线" w:hAnsi="等线" w:eastAsia="等线" w:cs="等线"/>
          <w:b/>
          <w:kern w:val="0"/>
          <w:sz w:val="44"/>
          <w:szCs w:val="44"/>
        </w:rPr>
      </w:pPr>
      <w:r>
        <w:rPr>
          <w:b/>
          <w:kern w:val="0"/>
          <w:sz w:val="44"/>
          <w:szCs w:val="44"/>
        </w:rPr>
        <w:t>英国剑桥大学 AI4S 专题项目</w:t>
      </w:r>
    </w:p>
    <w:p>
      <w:pPr>
        <w:widowControl/>
        <w:spacing w:line="360" w:lineRule="auto"/>
        <w:jc w:val="center"/>
        <w:rPr>
          <w:rFonts w:ascii="等线" w:hAnsi="等线" w:eastAsia="等线" w:cs="等线"/>
          <w:b/>
          <w:kern w:val="0"/>
          <w:sz w:val="32"/>
          <w:szCs w:val="32"/>
        </w:rPr>
      </w:pPr>
      <w:r>
        <w:rPr>
          <w:b/>
          <w:kern w:val="0"/>
          <w:sz w:val="32"/>
          <w:szCs w:val="32"/>
        </w:rPr>
        <w:t>2027 寒假 · 专题方向汇总</w:t>
      </w:r>
    </w:p>
    <w:p>
      <w:pPr>
        <w:pStyle w:val="23"/>
        <w:widowControl/>
        <w:numPr>
          <w:ilvl w:val="0"/>
          <w:numId w:val="0"/>
        </w:numPr>
        <w:spacing w:line="360" w:lineRule="auto"/>
        <w:ind w:leftChars="0"/>
        <w:rPr>
          <w:b/>
          <w:kern w:val="0"/>
          <w:szCs w:val="21"/>
        </w:rPr>
      </w:pPr>
    </w:p>
    <w:p>
      <w:pPr>
        <w:pStyle w:val="23"/>
        <w:widowControl/>
        <w:numPr>
          <w:ilvl w:val="0"/>
          <w:numId w:val="0"/>
        </w:numPr>
        <w:spacing w:line="360" w:lineRule="auto"/>
        <w:ind w:leftChars="0"/>
        <w:rPr>
          <w:rFonts w:ascii="等线" w:hAnsi="等线" w:eastAsia="等线" w:cs="等线"/>
          <w:b/>
          <w:kern w:val="0"/>
          <w:szCs w:val="21"/>
        </w:rPr>
      </w:pPr>
      <w:r>
        <w:rPr>
          <w:b/>
          <w:kern w:val="0"/>
          <w:szCs w:val="21"/>
        </w:rPr>
        <w:t>一、项目导览</w:t>
      </w:r>
    </w:p>
    <w:p>
      <w:pPr>
        <w:spacing w:line="360" w:lineRule="auto"/>
        <w:ind w:firstLine="432"/>
        <w:jc w:val="left"/>
        <w:rPr>
          <w:rFonts w:ascii="Calibri" w:hAnsi="Calibri" w:eastAsia="等线" w:cs="Calibri"/>
        </w:rPr>
      </w:pPr>
      <w:r>
        <w:t>随着智能模型与超级算力的持续演进，AI for Science（AI4S）的理念正在融入自然科学研究与工程创新的方方面面——从量子尺度的势能面与态密度模拟，到蛋白质等生物大分子的结构预测与从头构建，从功能材料的发现与器件化，到药物靶点筛选、靶向药物设计与神经连接图谱的建模分析，人工智能正在成为贯通各自然科学门类的共同方法论。</w:t>
      </w:r>
    </w:p>
    <w:p>
      <w:pPr>
        <w:spacing w:line="360" w:lineRule="auto"/>
        <w:ind w:firstLine="432"/>
        <w:jc w:val="left"/>
        <w:rPr>
          <w:rFonts w:ascii="Calibri" w:hAnsi="Calibri" w:eastAsia="等线" w:cs="Calibri"/>
        </w:rPr>
      </w:pPr>
      <w:r>
        <w:t>全美国际教育协会携手英国剑桥大学顶级师资团队及教学与实验资源，推出 AI4S 系列寒假访学项目。本汇总材料覆盖 2027 寒假开放的四个专题方向，各方向统一采用「第一周跨学科必修打基础 + 第二周选修方向深入 + 导师制结项课题」的三段式结构，为对计算科学、人工智能及交叉学科感兴趣的学生提供深度体验世界顶尖学术资源的机会。</w:t>
      </w:r>
    </w:p>
    <w:p>
      <w:pPr>
        <w:spacing w:line="360" w:lineRule="auto"/>
        <w:ind w:firstLine="432"/>
        <w:jc w:val="left"/>
        <w:rPr>
          <w:rFonts w:ascii="Calibri" w:hAnsi="Calibri" w:eastAsia="等线" w:cs="Calibri"/>
        </w:rPr>
      </w:pPr>
      <w:r>
        <w:t>AI4S 各专题统一采用跨学科「必修＋选修」双层课程结构：必修模块为全体</w:t>
      </w:r>
      <w:r>
        <w:rPr>
          <w:rFonts w:hint="eastAsia"/>
          <w:lang w:eastAsia="zh-CN"/>
        </w:rPr>
        <w:t>学生</w:t>
      </w:r>
      <w:r>
        <w:t>建立密度泛函理论、分子模拟与机器学习原子间势、统计推断与生成建模、可复现研究计算等共同方法基础，确保不同专业背景的</w:t>
      </w:r>
      <w:r>
        <w:rPr>
          <w:rFonts w:hint="eastAsia"/>
          <w:lang w:eastAsia="zh-CN"/>
        </w:rPr>
        <w:t>学生</w:t>
      </w:r>
      <w:r>
        <w:t>在同一语言体系内对话；选修模块按研究兴趣分流，从能源与量子材料、超分子化学与药物设计，到连接组学、多组学与医学影像，让每位</w:t>
      </w:r>
      <w:r>
        <w:rPr>
          <w:rFonts w:hint="eastAsia"/>
          <w:lang w:eastAsia="zh-CN"/>
        </w:rPr>
        <w:t>学生</w:t>
      </w:r>
      <w:r>
        <w:t>在两周内完成一次真正的跨学科迁移。授课与指导全部由剑桥在研一线的教授与研究员承担。项目最具分量的一环是导师制结项课题：每个专题设三个由授课人亲自命题的具体研究问题，</w:t>
      </w:r>
      <w:r>
        <w:rPr>
          <w:rFonts w:hint="eastAsia"/>
          <w:lang w:eastAsia="zh-CN"/>
        </w:rPr>
        <w:t>学生</w:t>
      </w:r>
      <w:r>
        <w:t>分组承接，导师全程 supervise 并在最后一日主持答辩，据此产出可复现的代码与研究报告。配套的高性能计算中心与实验室参访，使课堂方法直接落回真实科研现场。</w:t>
      </w:r>
    </w:p>
    <w:p>
      <w:pPr>
        <w:pStyle w:val="27"/>
        <w:widowControl/>
        <w:numPr>
          <w:ilvl w:val="0"/>
          <w:numId w:val="0"/>
        </w:numPr>
        <w:spacing w:line="360" w:lineRule="auto"/>
        <w:ind w:leftChars="0"/>
        <w:jc w:val="left"/>
        <w:rPr>
          <w:b/>
          <w:bCs/>
          <w:szCs w:val="21"/>
        </w:rPr>
      </w:pPr>
    </w:p>
    <w:p>
      <w:pPr>
        <w:pStyle w:val="27"/>
        <w:widowControl/>
        <w:numPr>
          <w:ilvl w:val="0"/>
          <w:numId w:val="0"/>
        </w:numPr>
        <w:spacing w:line="360" w:lineRule="auto"/>
        <w:ind w:leftChars="0"/>
        <w:jc w:val="left"/>
        <w:rPr>
          <w:rFonts w:ascii="等线" w:hAnsi="等线" w:eastAsia="等线" w:cs="等线"/>
          <w:b/>
          <w:bCs/>
          <w:szCs w:val="21"/>
        </w:rPr>
      </w:pPr>
      <w:r>
        <w:rPr>
          <w:b/>
          <w:bCs/>
          <w:szCs w:val="21"/>
        </w:rPr>
        <w:t>二、特色与优势</w:t>
      </w:r>
    </w:p>
    <w:p>
      <w:pPr>
        <w:pStyle w:val="27"/>
        <w:widowControl/>
        <w:numPr>
          <w:ilvl w:val="0"/>
          <w:numId w:val="1"/>
        </w:numPr>
        <w:spacing w:line="360" w:lineRule="auto"/>
        <w:ind w:firstLineChars="0"/>
        <w:jc w:val="left"/>
        <w:rPr>
          <w:rFonts w:ascii="等线" w:hAnsi="等线" w:eastAsia="等线" w:cs="等线"/>
          <w:szCs w:val="21"/>
        </w:rPr>
      </w:pPr>
      <w:r>
        <w:rPr>
          <w:szCs w:val="21"/>
        </w:rPr>
        <w:t>【跨学科课程体系】统一的「必修打基础 + 选修深方向」双层结构，必修课打通不同学科背景的共同方法论，选修课按研究兴趣分流，保障课程体系的统一性、延续性与专业度。</w:t>
      </w:r>
    </w:p>
    <w:p>
      <w:pPr>
        <w:pStyle w:val="27"/>
        <w:widowControl/>
        <w:numPr>
          <w:ilvl w:val="0"/>
          <w:numId w:val="1"/>
        </w:numPr>
        <w:spacing w:line="360" w:lineRule="auto"/>
        <w:ind w:firstLineChars="0"/>
        <w:jc w:val="left"/>
        <w:rPr>
          <w:rFonts w:ascii="等线" w:hAnsi="等线" w:eastAsia="等线" w:cs="等线"/>
          <w:szCs w:val="21"/>
        </w:rPr>
      </w:pPr>
      <w:r>
        <w:rPr>
          <w:szCs w:val="21"/>
        </w:rPr>
        <w:t>【导师制结项课题】每个专题设三个由授课教授亲自命题的具体研究课题，</w:t>
      </w:r>
      <w:r>
        <w:rPr>
          <w:rFonts w:hint="eastAsia"/>
          <w:szCs w:val="21"/>
          <w:lang w:eastAsia="zh-CN"/>
        </w:rPr>
        <w:t>学生</w:t>
      </w:r>
      <w:r>
        <w:rPr>
          <w:szCs w:val="21"/>
        </w:rPr>
        <w:t>分组承接，由命题导师全程 supervise 并主持最终答辩，产出可复现的代码与研究报告。</w:t>
      </w:r>
    </w:p>
    <w:p>
      <w:pPr>
        <w:pStyle w:val="27"/>
        <w:widowControl/>
        <w:numPr>
          <w:ilvl w:val="0"/>
          <w:numId w:val="1"/>
        </w:numPr>
        <w:spacing w:line="360" w:lineRule="auto"/>
        <w:ind w:firstLineChars="0"/>
        <w:jc w:val="left"/>
        <w:rPr>
          <w:rFonts w:ascii="等线" w:hAnsi="等线" w:eastAsia="等线" w:cs="等线"/>
          <w:szCs w:val="21"/>
        </w:rPr>
      </w:pPr>
      <w:r>
        <w:rPr>
          <w:szCs w:val="21"/>
        </w:rPr>
        <w:t>【真实权威性】所有课程均由剑桥大学在职教授与研究员设计和实施，确保学术质量，打造真实权威的访学体验。</w:t>
      </w:r>
    </w:p>
    <w:p>
      <w:pPr>
        <w:pStyle w:val="27"/>
        <w:widowControl/>
        <w:numPr>
          <w:ilvl w:val="0"/>
          <w:numId w:val="1"/>
        </w:numPr>
        <w:spacing w:line="360" w:lineRule="auto"/>
        <w:ind w:firstLineChars="0"/>
        <w:jc w:val="left"/>
        <w:rPr>
          <w:rFonts w:ascii="等线" w:hAnsi="等线" w:eastAsia="等线" w:cs="等线"/>
          <w:szCs w:val="21"/>
        </w:rPr>
      </w:pPr>
      <w:r>
        <w:rPr>
          <w:szCs w:val="21"/>
        </w:rPr>
        <w:t>【个性化推荐信】表现优异的</w:t>
      </w:r>
      <w:r>
        <w:rPr>
          <w:rFonts w:hint="eastAsia"/>
          <w:szCs w:val="21"/>
          <w:lang w:eastAsia="zh-CN"/>
        </w:rPr>
        <w:t>学生</w:t>
      </w:r>
      <w:r>
        <w:rPr>
          <w:szCs w:val="21"/>
        </w:rPr>
        <w:t>将获得个性化推荐信，为学生的留学或职业发展提供真实、有效、有力的支持。</w:t>
      </w:r>
    </w:p>
    <w:p>
      <w:pPr>
        <w:pStyle w:val="27"/>
        <w:widowControl/>
        <w:numPr>
          <w:ilvl w:val="0"/>
          <w:numId w:val="1"/>
        </w:numPr>
        <w:spacing w:line="360" w:lineRule="auto"/>
        <w:ind w:firstLineChars="0"/>
        <w:jc w:val="left"/>
        <w:rPr>
          <w:rFonts w:ascii="等线" w:hAnsi="等线" w:eastAsia="等线" w:cs="等线"/>
          <w:szCs w:val="21"/>
        </w:rPr>
      </w:pPr>
      <w:r>
        <w:rPr>
          <w:szCs w:val="21"/>
        </w:rPr>
        <w:t>【证书收获】成功完成项目的学生将获得剑桥授课教授签发的参课证明和评估信。</w:t>
      </w:r>
    </w:p>
    <w:p>
      <w:pPr>
        <w:pStyle w:val="27"/>
        <w:widowControl/>
        <w:numPr>
          <w:ilvl w:val="0"/>
          <w:numId w:val="1"/>
        </w:numPr>
        <w:spacing w:line="360" w:lineRule="auto"/>
        <w:ind w:firstLineChars="0"/>
        <w:jc w:val="left"/>
        <w:rPr>
          <w:rFonts w:ascii="等线" w:hAnsi="等线" w:eastAsia="等线" w:cs="等线"/>
          <w:szCs w:val="21"/>
        </w:rPr>
      </w:pPr>
      <w:r>
        <w:rPr>
          <w:szCs w:val="21"/>
        </w:rPr>
        <w:t>【深度文化体验】学生将在剑桥学院学习，参与丰富的文化体验活动，并有机会访问伦敦和牛津两座城市，体验英国历史名城的独特魅力。</w:t>
      </w:r>
    </w:p>
    <w:p>
      <w:pPr>
        <w:pStyle w:val="27"/>
        <w:widowControl/>
        <w:numPr>
          <w:ilvl w:val="0"/>
          <w:numId w:val="0"/>
        </w:numPr>
        <w:spacing w:line="360" w:lineRule="auto"/>
        <w:ind w:left="420" w:leftChars="0"/>
        <w:jc w:val="left"/>
        <w:rPr>
          <w:rFonts w:ascii="等线" w:hAnsi="等线" w:eastAsia="等线" w:cs="等线"/>
          <w:szCs w:val="21"/>
        </w:rPr>
      </w:pPr>
    </w:p>
    <w:p>
      <w:pPr>
        <w:widowControl/>
        <w:spacing w:line="360" w:lineRule="auto"/>
        <w:jc w:val="left"/>
        <w:rPr>
          <w:rFonts w:ascii="等线" w:hAnsi="等线" w:eastAsia="等线" w:cs="等线"/>
          <w:b/>
          <w:bCs/>
          <w:kern w:val="0"/>
          <w:szCs w:val="21"/>
        </w:rPr>
      </w:pPr>
      <w:r>
        <w:rPr>
          <w:b/>
          <w:bCs/>
          <w:kern w:val="0"/>
          <w:szCs w:val="21"/>
        </w:rPr>
        <w:t>三、剑桥大学简介</w:t>
      </w:r>
    </w:p>
    <w:p>
      <w:pPr>
        <w:pStyle w:val="27"/>
        <w:widowControl/>
        <w:numPr>
          <w:ilvl w:val="0"/>
          <w:numId w:val="1"/>
        </w:numPr>
        <w:spacing w:line="360" w:lineRule="auto"/>
        <w:ind w:firstLineChars="0"/>
        <w:jc w:val="left"/>
        <w:rPr>
          <w:rFonts w:ascii="等线" w:hAnsi="等线" w:eastAsia="等线" w:cs="等线"/>
          <w:szCs w:val="21"/>
        </w:rPr>
      </w:pPr>
      <w:r>
        <w:rPr>
          <w:szCs w:val="21"/>
        </w:rPr>
        <w:t>创建于1209年的剑桥大学(University of Cambridge)，是英国乃至世界上历史最悠久的大学之一，同时也被公认为是世界上最顶尖的高等教育机构之一，在艺术与人文、数学、物理、工程与技术、医学、法学、商科等诸多领域拥有崇高的学术地位及广泛的影响力；</w:t>
      </w:r>
    </w:p>
    <w:p>
      <w:pPr>
        <w:pStyle w:val="27"/>
        <w:widowControl/>
        <w:numPr>
          <w:ilvl w:val="0"/>
          <w:numId w:val="1"/>
        </w:numPr>
        <w:spacing w:line="360" w:lineRule="auto"/>
        <w:ind w:firstLineChars="0"/>
        <w:jc w:val="left"/>
        <w:rPr>
          <w:rFonts w:ascii="等线" w:hAnsi="等线" w:eastAsia="等线" w:cs="等线"/>
          <w:szCs w:val="21"/>
        </w:rPr>
      </w:pPr>
      <w:r>
        <w:rPr>
          <w:szCs w:val="21"/>
        </w:rPr>
        <w:t>剑桥大学是英语世界中第二古老的大学，同时也是全世界最顶尖的研究型大学之一，英国名校联盟“罗素集团”和欧洲大学联盟科英布拉集团成员；</w:t>
      </w:r>
    </w:p>
    <w:p>
      <w:pPr>
        <w:pStyle w:val="27"/>
        <w:widowControl/>
        <w:numPr>
          <w:ilvl w:val="0"/>
          <w:numId w:val="1"/>
        </w:numPr>
        <w:spacing w:line="360" w:lineRule="auto"/>
        <w:ind w:firstLineChars="0"/>
        <w:jc w:val="left"/>
        <w:rPr>
          <w:rFonts w:ascii="等线" w:hAnsi="等线" w:eastAsia="等线" w:cs="等线"/>
          <w:szCs w:val="21"/>
        </w:rPr>
      </w:pPr>
      <w:r>
        <w:rPr>
          <w:szCs w:val="21"/>
        </w:rPr>
        <w:t>2026年USNEWS全球大学排名第5；202</w:t>
      </w:r>
      <w:r>
        <w:rPr>
          <w:rFonts w:hint="eastAsia"/>
          <w:szCs w:val="21"/>
          <w:lang w:val="en-US" w:eastAsia="zh-CN"/>
        </w:rPr>
        <w:t>7</w:t>
      </w:r>
      <w:r>
        <w:rPr>
          <w:szCs w:val="21"/>
        </w:rPr>
        <w:t>年QS世界大学综合排名第6</w:t>
      </w:r>
      <w:r>
        <w:rPr>
          <w:rFonts w:hint="eastAsia"/>
          <w:szCs w:val="21"/>
          <w:lang w:eastAsia="zh-CN"/>
        </w:rPr>
        <w:t>。</w:t>
      </w:r>
    </w:p>
    <w:p>
      <w:pPr>
        <w:widowControl/>
        <w:spacing w:line="360" w:lineRule="auto"/>
        <w:jc w:val="left"/>
        <w:rPr>
          <w:b/>
          <w:bCs/>
          <w:kern w:val="0"/>
          <w:szCs w:val="21"/>
        </w:rPr>
      </w:pPr>
    </w:p>
    <w:p>
      <w:pPr>
        <w:widowControl/>
        <w:spacing w:line="360" w:lineRule="auto"/>
        <w:jc w:val="left"/>
        <w:rPr>
          <w:rFonts w:ascii="等线" w:hAnsi="等线" w:eastAsia="等线" w:cs="等线"/>
          <w:b/>
          <w:bCs/>
          <w:kern w:val="0"/>
          <w:szCs w:val="21"/>
        </w:rPr>
      </w:pPr>
      <w:r>
        <w:rPr>
          <w:b/>
          <w:bCs/>
          <w:kern w:val="0"/>
          <w:szCs w:val="21"/>
        </w:rPr>
        <w:t>四、访学项目介绍</w:t>
      </w:r>
    </w:p>
    <w:p>
      <w:pPr>
        <w:spacing w:line="360" w:lineRule="auto"/>
        <w:rPr>
          <w:rFonts w:ascii="等线" w:hAnsi="等线" w:eastAsia="等线" w:cs="等线"/>
          <w:b/>
          <w:bCs/>
          <w:szCs w:val="21"/>
        </w:rPr>
      </w:pPr>
      <w:r>
        <w:rPr>
          <w:rFonts w:hint="eastAsia" w:ascii="等线" w:hAnsi="等线" w:eastAsia="等线" w:cs="等线"/>
          <w:b/>
          <w:bCs/>
          <w:szCs w:val="21"/>
        </w:rPr>
        <w:t>【课程日期】</w:t>
      </w:r>
    </w:p>
    <w:p>
      <w:pPr>
        <w:spacing w:line="360" w:lineRule="auto"/>
        <w:ind w:firstLine="432"/>
        <w:jc w:val="left"/>
        <w:rPr>
          <w:rFonts w:ascii="Calibri" w:hAnsi="Calibri" w:eastAsia="等线" w:cs="Calibri"/>
        </w:rPr>
      </w:pPr>
      <w:r>
        <w:rPr>
          <w:rFonts w:hint="eastAsia"/>
          <w:lang w:val="en-US" w:eastAsia="zh-CN"/>
        </w:rPr>
        <w:t>1月</w:t>
      </w:r>
      <w:r>
        <w:t>：2027年1月1</w:t>
      </w:r>
      <w:r>
        <w:rPr>
          <w:rFonts w:hint="eastAsia"/>
          <w:lang w:val="en-US" w:eastAsia="zh-CN"/>
        </w:rPr>
        <w:t>7</w:t>
      </w:r>
      <w:r>
        <w:t>日 - 1月</w:t>
      </w:r>
      <w:r>
        <w:rPr>
          <w:rFonts w:hint="eastAsia"/>
          <w:lang w:val="en-US" w:eastAsia="zh-CN"/>
        </w:rPr>
        <w:t>30</w:t>
      </w:r>
      <w:r>
        <w:t>日（2 周； 1月17日抵达、1月30日离开）　—　开放 2 个专题方向</w:t>
      </w:r>
    </w:p>
    <w:p>
      <w:pPr>
        <w:spacing w:line="360" w:lineRule="auto"/>
        <w:ind w:firstLine="432"/>
        <w:jc w:val="left"/>
      </w:pPr>
      <w:r>
        <w:rPr>
          <w:rFonts w:hint="eastAsia"/>
          <w:lang w:val="en-US" w:eastAsia="zh-CN"/>
        </w:rPr>
        <w:t>2月</w:t>
      </w:r>
      <w:r>
        <w:t>：2027年2月8日 - 2月19日（</w:t>
      </w:r>
      <w:r>
        <w:rPr>
          <w:rFonts w:hint="eastAsia"/>
          <w:lang w:val="en-US" w:eastAsia="zh-CN"/>
        </w:rPr>
        <w:t>12天11晚</w:t>
      </w:r>
      <w:r>
        <w:t>； 2月</w:t>
      </w:r>
      <w:r>
        <w:rPr>
          <w:rFonts w:hint="eastAsia"/>
          <w:lang w:val="en-US" w:eastAsia="zh-CN"/>
        </w:rPr>
        <w:t>8</w:t>
      </w:r>
      <w:r>
        <w:t>日抵达、2月</w:t>
      </w:r>
      <w:r>
        <w:rPr>
          <w:rFonts w:hint="eastAsia"/>
          <w:lang w:val="en-US" w:eastAsia="zh-CN"/>
        </w:rPr>
        <w:t>19</w:t>
      </w:r>
      <w:r>
        <w:t>日离开）　—　开放 2 个专题方向</w:t>
      </w:r>
    </w:p>
    <w:p>
      <w:pPr>
        <w:spacing w:line="360" w:lineRule="auto"/>
        <w:ind w:firstLine="432"/>
        <w:jc w:val="left"/>
      </w:pPr>
    </w:p>
    <w:p>
      <w:pPr>
        <w:spacing w:line="360" w:lineRule="auto"/>
        <w:rPr>
          <w:rFonts w:ascii="等线" w:hAnsi="等线" w:eastAsia="等线" w:cs="等线"/>
          <w:b/>
          <w:bCs/>
          <w:szCs w:val="21"/>
        </w:rPr>
      </w:pPr>
      <w:r>
        <w:rPr>
          <w:rFonts w:hint="eastAsia" w:ascii="等线" w:hAnsi="等线" w:eastAsia="等线" w:cs="等线"/>
          <w:b/>
          <w:bCs/>
          <w:szCs w:val="21"/>
        </w:rPr>
        <w:t>【专题方向】</w:t>
      </w:r>
    </w:p>
    <w:p>
      <w:pPr>
        <w:spacing w:line="360" w:lineRule="auto"/>
        <w:ind w:firstLine="432"/>
        <w:jc w:val="left"/>
        <w:rPr>
          <w:rFonts w:ascii="Calibri" w:hAnsi="Calibri" w:eastAsia="等线" w:cs="Calibri"/>
        </w:rPr>
      </w:pPr>
      <w:r>
        <w:t>2027 寒假 AI4S 系列共开放以下 4 个专题方向，</w:t>
      </w:r>
      <w:r>
        <w:rPr>
          <w:rFonts w:hint="eastAsia"/>
          <w:lang w:eastAsia="zh-CN"/>
        </w:rPr>
        <w:t>学生</w:t>
      </w:r>
      <w:r>
        <w:t>在报名时选定其一。各方向的必修课与选修课互不相同，但统一遵循同一课程结构与结项标准。（师资仅供参考，具体授课安排以实际为准）</w:t>
      </w:r>
    </w:p>
    <w:p>
      <w:pPr>
        <w:pStyle w:val="27"/>
        <w:widowControl/>
        <w:numPr>
          <w:ilvl w:val="0"/>
          <w:numId w:val="2"/>
        </w:numPr>
        <w:spacing w:line="360" w:lineRule="auto"/>
        <w:ind w:left="0" w:leftChars="0" w:firstLine="0" w:firstLineChars="0"/>
        <w:jc w:val="left"/>
        <w:rPr>
          <w:rFonts w:ascii="等线" w:hAnsi="等线" w:eastAsia="等线" w:cs="等线"/>
          <w:b/>
          <w:bCs/>
          <w:sz w:val="24"/>
          <w:szCs w:val="24"/>
        </w:rPr>
      </w:pPr>
      <w:r>
        <w:rPr>
          <w:b/>
          <w:bCs/>
          <w:sz w:val="24"/>
          <w:szCs w:val="24"/>
        </w:rPr>
        <w:t>方向1</w:t>
      </w:r>
      <w:r>
        <w:rPr>
          <w:rFonts w:hint="eastAsia"/>
          <w:b/>
          <w:bCs/>
          <w:sz w:val="24"/>
          <w:szCs w:val="24"/>
          <w:lang w:eastAsia="zh-CN"/>
        </w:rPr>
        <w:t>：</w:t>
      </w:r>
      <w:r>
        <w:rPr>
          <w:b/>
          <w:bCs/>
          <w:sz w:val="24"/>
          <w:szCs w:val="24"/>
        </w:rPr>
        <w:t>AI驱动科学：功能能源材料计算</w:t>
      </w:r>
    </w:p>
    <w:p>
      <w:pPr>
        <w:spacing w:line="360" w:lineRule="auto"/>
        <w:ind w:firstLine="432"/>
        <w:jc w:val="left"/>
        <w:rPr>
          <w:rFonts w:hint="default" w:ascii="Calibri" w:hAnsi="Calibri" w:eastAsia="宋体" w:cs="Calibri"/>
          <w:lang w:val="en-US" w:eastAsia="zh-CN"/>
        </w:rPr>
      </w:pPr>
      <w:r>
        <w:t>AI4Materials: Computational and AI-driven Science for Functional Energy Materials</w:t>
      </w:r>
      <w:r>
        <w:rPr>
          <w:rFonts w:hint="eastAsia"/>
          <w:lang w:val="en-US" w:eastAsia="zh-CN"/>
        </w:rPr>
        <w:t xml:space="preserve"> </w:t>
      </w:r>
      <w:r>
        <w:t>|</w:t>
      </w:r>
      <w:r>
        <w:rPr>
          <w:rFonts w:hint="eastAsia"/>
          <w:lang w:val="en-US" w:eastAsia="zh-CN"/>
        </w:rPr>
        <w:t xml:space="preserve"> </w:t>
      </w:r>
      <w:r>
        <w:t>开设档期：</w:t>
      </w:r>
      <w:r>
        <w:rPr>
          <w:rFonts w:hint="eastAsia"/>
          <w:lang w:val="en-US" w:eastAsia="zh-CN"/>
        </w:rPr>
        <w:t>1月</w:t>
      </w:r>
    </w:p>
    <w:p>
      <w:pPr>
        <w:spacing w:line="360" w:lineRule="auto"/>
        <w:ind w:firstLine="432"/>
        <w:jc w:val="left"/>
        <w:rPr>
          <w:rFonts w:ascii="Calibri" w:hAnsi="Calibri" w:eastAsia="等线" w:cs="Calibri"/>
        </w:rPr>
      </w:pPr>
      <w:r>
        <w:t>AI4Materials 以人工智能重塑材料研究范式，聚焦能源、电子与量子功能材料的计算发现与设计，采用跨学科「必修＋选修」双层结构。必修课统一建立固体物理与电子能带、半导体器件与薄膜物理、密度泛函理论、AI 驱动高通量筛选四项基础；选修课按方向分流，覆盖缺陷工程、电池材料与固态电化学、光伏与超导材料设计、量子计算拓扑材料与节能 AI 硬件氧化物薄膜。授课者均为一线剑桥学者。专题以导师制结项课题收束：</w:t>
      </w:r>
      <w:r>
        <w:rPr>
          <w:rFonts w:hint="eastAsia"/>
          <w:lang w:eastAsia="zh-CN"/>
        </w:rPr>
        <w:t>学生</w:t>
      </w:r>
      <w:r>
        <w:t>分组承接由授课人命题并全程指导的具体问题——固态电解质锂离子扩散的机器学习原子间势、杂化钙钛矿高通量 DFT 筛选、氧化物薄膜缺陷工程，并通过高性能计算中心与器件材料实验室参访对接真实科研基础设施。</w:t>
      </w:r>
    </w:p>
    <w:p>
      <w:pPr>
        <w:spacing w:line="360" w:lineRule="auto"/>
        <w:ind w:firstLine="432"/>
        <w:jc w:val="left"/>
        <w:rPr>
          <w:rFonts w:ascii="Calibri" w:hAnsi="Calibri" w:eastAsia="等线" w:cs="Calibri"/>
        </w:rPr>
      </w:pPr>
      <w:r>
        <w:t>先修建议：</w:t>
      </w:r>
    </w:p>
    <w:p>
      <w:pPr>
        <w:pStyle w:val="27"/>
        <w:widowControl/>
        <w:numPr>
          <w:ilvl w:val="0"/>
          <w:numId w:val="1"/>
        </w:numPr>
        <w:spacing w:line="360" w:lineRule="auto"/>
        <w:ind w:firstLineChars="0"/>
        <w:jc w:val="left"/>
        <w:rPr>
          <w:rFonts w:ascii="等线" w:hAnsi="等线" w:eastAsia="等线" w:cs="等线"/>
          <w:szCs w:val="21"/>
        </w:rPr>
      </w:pPr>
      <w:r>
        <w:rPr>
          <w:szCs w:val="21"/>
        </w:rPr>
        <w:t>面向对象程序设计　Object-Oriented Programming</w:t>
      </w:r>
    </w:p>
    <w:p>
      <w:pPr>
        <w:pStyle w:val="27"/>
        <w:widowControl/>
        <w:numPr>
          <w:ilvl w:val="0"/>
          <w:numId w:val="1"/>
        </w:numPr>
        <w:spacing w:line="360" w:lineRule="auto"/>
        <w:ind w:firstLineChars="0"/>
        <w:jc w:val="left"/>
        <w:rPr>
          <w:rFonts w:ascii="等线" w:hAnsi="等线" w:eastAsia="等线" w:cs="等线"/>
          <w:szCs w:val="21"/>
        </w:rPr>
      </w:pPr>
      <w:r>
        <w:rPr>
          <w:szCs w:val="21"/>
        </w:rPr>
        <w:t>材料学基础　Foundation of Materials</w:t>
      </w:r>
    </w:p>
    <w:p>
      <w:pPr>
        <w:pStyle w:val="27"/>
        <w:widowControl/>
        <w:numPr>
          <w:ilvl w:val="0"/>
          <w:numId w:val="1"/>
        </w:numPr>
        <w:spacing w:line="360" w:lineRule="auto"/>
        <w:ind w:firstLineChars="0"/>
        <w:jc w:val="left"/>
        <w:rPr>
          <w:rFonts w:ascii="等线" w:hAnsi="等线" w:eastAsia="等线" w:cs="等线"/>
          <w:szCs w:val="21"/>
        </w:rPr>
      </w:pPr>
      <w:r>
        <w:rPr>
          <w:szCs w:val="21"/>
        </w:rPr>
        <w:t>高等数学（线性代数、微积分与偏微分方程）　Advanced Mathematics (Linear Algebra, Calculus &amp; PDEs)</w:t>
      </w:r>
    </w:p>
    <w:p>
      <w:pPr>
        <w:pStyle w:val="27"/>
        <w:widowControl/>
        <w:numPr>
          <w:ilvl w:val="0"/>
          <w:numId w:val="0"/>
        </w:numPr>
        <w:spacing w:line="360" w:lineRule="auto"/>
        <w:ind w:left="420" w:leftChars="0"/>
        <w:jc w:val="left"/>
        <w:rPr>
          <w:rFonts w:ascii="等线" w:hAnsi="等线" w:eastAsia="等线" w:cs="等线"/>
          <w:szCs w:val="21"/>
        </w:rPr>
      </w:pPr>
    </w:p>
    <w:tbl>
      <w:tblPr>
        <w:tblStyle w:val="14"/>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▎第一周 · 必修课程 | Week 1 · 5 门必修课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开幕式：现代科学的炼金术　Opening Session: The Alchemy of Modern Science</w:t>
            </w:r>
          </w:p>
          <w:p>
            <w:pPr>
              <w:spacing w:line="360" w:lineRule="auto"/>
            </w:pPr>
            <w:r>
              <w:t>授课人：Prof. Judith Driscoll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半导体器件与薄膜物理基础　Fundamentals of Semiconductor Devices and Thin Film Physics</w:t>
            </w:r>
          </w:p>
          <w:p>
            <w:pPr>
              <w:spacing w:line="360" w:lineRule="auto"/>
            </w:pPr>
            <w:r>
              <w:t>授课人：Prof. Abin Varghese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固体物理与电子能带结构　Solid State Physics &amp; Electronic Band Structure</w:t>
            </w:r>
          </w:p>
          <w:p>
            <w:pPr>
              <w:spacing w:line="360" w:lineRule="auto"/>
            </w:pPr>
            <w:r>
              <w:t>授课人：Prof. Bartomeu Monserrat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材料的密度泛函理论（DFT）　Density Functional Theory (DFT) for Materials</w:t>
            </w:r>
          </w:p>
          <w:p>
            <w:pPr>
              <w:spacing w:line="360" w:lineRule="auto"/>
            </w:pPr>
            <w:r>
              <w:t>授课人：Prof. Seán Kavanagh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AI驱动材料发现与高通量筛选　AI-Driven Materials Discovery &amp; High-Throughput Screening</w:t>
            </w:r>
          </w:p>
          <w:p>
            <w:pPr>
              <w:spacing w:line="360" w:lineRule="auto"/>
            </w:pPr>
            <w:r>
              <w:t>授课人：Prof. Bartomeu Monserrat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▎第二周 · 选修方向 | 六选四</w:t>
            </w:r>
          </w:p>
          <w:p>
            <w:pPr>
              <w:spacing w:line="360" w:lineRule="auto"/>
            </w:pPr>
            <w:r>
              <w:t>可根据感兴趣的小组结项科研项目方向选择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课程1：半导体与能源材料中的缺陷工程　Defect Engineering in Semiconductors and Energy Materials</w:t>
            </w:r>
          </w:p>
          <w:p>
            <w:pPr>
              <w:spacing w:line="360" w:lineRule="auto"/>
            </w:pPr>
            <w:r>
              <w:t>授课人：Prof. Judith Driscoll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课程2：计算材料开源工作流（doped）　Open-Source Workflows for Computational Materials (doped)</w:t>
            </w:r>
          </w:p>
          <w:p>
            <w:pPr>
              <w:spacing w:line="360" w:lineRule="auto"/>
            </w:pPr>
            <w:r>
              <w:t>授课人：Prof. Seán Kavanagh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课程3：光伏与超导材料的数据驱动设计　Data-Driven Design of Photovoltaic and Superconducting Materials</w:t>
            </w:r>
          </w:p>
          <w:p>
            <w:pPr>
              <w:spacing w:line="360" w:lineRule="auto"/>
            </w:pPr>
            <w:r>
              <w:t>授课人：Prof. Bartomeu Monserrat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课程4：电池材料与固态电化学建模　Battery Materials and Solid-State Electrochemistry Modelling</w:t>
            </w:r>
          </w:p>
          <w:p>
            <w:pPr>
              <w:spacing w:line="360" w:lineRule="auto"/>
            </w:pPr>
            <w:r>
              <w:t>授课人：Prof. Seán Kavanagh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课程5：面向AI硬件的节能氧化物薄膜　Oxide Thin Films for Energy-Efficient Electronics in AI Hardware</w:t>
            </w:r>
          </w:p>
          <w:p>
            <w:pPr>
              <w:spacing w:line="360" w:lineRule="auto"/>
            </w:pPr>
            <w:r>
              <w:t>授课人：Prof. Abin Varghese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课程6：拓扑材料与量子计算基底　Topological Materials and Quantum Computing Substrates</w:t>
            </w:r>
          </w:p>
          <w:p>
            <w:pPr>
              <w:spacing w:line="360" w:lineRule="auto"/>
            </w:pPr>
            <w:r>
              <w:t>授课人：Prof. Bartomeu Monserrat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▎结项科研课题 | Capstone Projects · 三选一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rPr>
                <w:rFonts w:hint="eastAsia"/>
                <w:b/>
                <w:bCs/>
                <w:u w:val="single"/>
                <w:lang w:val="en-US" w:eastAsia="zh-CN"/>
              </w:rPr>
              <w:t>结项</w:t>
            </w:r>
            <w:r>
              <w:rPr>
                <w:b/>
                <w:bCs/>
                <w:u w:val="single"/>
              </w:rPr>
              <w:t>课题1：</w:t>
            </w:r>
            <w:r>
              <w:t>固态电池中锂离子扩散的机器学习原子间势　Machine-Learning Interatomic Potentials for Li-ion Diffusion in Solid-State Batteries</w:t>
            </w:r>
          </w:p>
          <w:p>
            <w:pPr>
              <w:spacing w:line="360" w:lineRule="auto"/>
            </w:pPr>
            <w:r>
              <w:t>指导导师：Prof. Seán Kavanagh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rPr>
                <w:rFonts w:hint="eastAsia"/>
                <w:b/>
                <w:bCs/>
                <w:u w:val="single"/>
                <w:lang w:val="en-US" w:eastAsia="zh-CN"/>
              </w:rPr>
              <w:t>结项</w:t>
            </w:r>
            <w:r>
              <w:rPr>
                <w:b/>
                <w:bCs/>
                <w:u w:val="single"/>
              </w:rPr>
              <w:t>课题2：</w:t>
            </w:r>
            <w:r>
              <w:t>杂化钙钛矿与新一代太阳能电池的高通量DFT筛选　High-Throughput DFT Screening of Hybrid Perovskites and Next-Generation Solar Cell</w:t>
            </w:r>
          </w:p>
          <w:p>
            <w:pPr>
              <w:spacing w:line="360" w:lineRule="auto"/>
            </w:pPr>
            <w:r>
              <w:t>指导导师：Prof. Bartomeu Monserrat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rPr>
                <w:rFonts w:hint="eastAsia"/>
                <w:b/>
                <w:bCs/>
                <w:u w:val="single"/>
                <w:lang w:val="en-US" w:eastAsia="zh-CN"/>
              </w:rPr>
              <w:t>结项课题3：</w:t>
            </w:r>
            <w:r>
              <w:t>面向节能AI硬件的氧化物薄膜缺陷工程　Defect Engineering in Oxide Thin Films for Energy-Efficient AI Hardware</w:t>
            </w:r>
          </w:p>
          <w:p>
            <w:pPr>
              <w:spacing w:line="360" w:lineRule="auto"/>
            </w:pPr>
            <w:r>
              <w:t>指导导师：Prof. Judith Driscoll</w:t>
            </w:r>
          </w:p>
        </w:tc>
      </w:tr>
    </w:tbl>
    <w:p>
      <w:pPr>
        <w:pStyle w:val="27"/>
        <w:widowControl/>
        <w:numPr>
          <w:ilvl w:val="0"/>
          <w:numId w:val="0"/>
        </w:numPr>
        <w:spacing w:line="360" w:lineRule="auto"/>
        <w:ind w:leftChars="0"/>
        <w:jc w:val="left"/>
        <w:rPr>
          <w:b/>
          <w:bCs/>
          <w:szCs w:val="21"/>
        </w:rPr>
      </w:pPr>
    </w:p>
    <w:p>
      <w:pPr>
        <w:pStyle w:val="27"/>
        <w:widowControl/>
        <w:numPr>
          <w:ilvl w:val="0"/>
          <w:numId w:val="2"/>
        </w:numPr>
        <w:spacing w:line="360" w:lineRule="auto"/>
        <w:ind w:left="0" w:leftChars="0" w:firstLine="0" w:firstLineChars="0"/>
        <w:jc w:val="left"/>
        <w:rPr>
          <w:rFonts w:ascii="等线" w:hAnsi="等线" w:eastAsia="等线" w:cs="等线"/>
          <w:b/>
          <w:bCs/>
          <w:sz w:val="24"/>
          <w:szCs w:val="24"/>
        </w:rPr>
      </w:pPr>
      <w:r>
        <w:rPr>
          <w:b/>
          <w:bCs/>
          <w:sz w:val="24"/>
          <w:szCs w:val="24"/>
        </w:rPr>
        <w:t>方向 2</w:t>
      </w:r>
      <w:r>
        <w:rPr>
          <w:rFonts w:hint="eastAsia"/>
          <w:b/>
          <w:bCs/>
          <w:sz w:val="24"/>
          <w:szCs w:val="24"/>
          <w:lang w:eastAsia="zh-CN"/>
        </w:rPr>
        <w:t>：</w:t>
      </w:r>
      <w:r>
        <w:rPr>
          <w:b/>
          <w:bCs/>
          <w:sz w:val="24"/>
          <w:szCs w:val="24"/>
        </w:rPr>
        <w:t>人工智能在计算化学与药学中的应用</w:t>
      </w:r>
    </w:p>
    <w:p>
      <w:pPr>
        <w:spacing w:line="360" w:lineRule="auto"/>
        <w:ind w:firstLine="432"/>
        <w:jc w:val="left"/>
        <w:rPr>
          <w:rFonts w:hint="default" w:ascii="Calibri" w:hAnsi="Calibri" w:eastAsia="宋体" w:cs="Calibri"/>
          <w:lang w:val="en-US" w:eastAsia="zh-CN"/>
        </w:rPr>
      </w:pPr>
      <w:r>
        <w:t>AI4S: Artificial Intelligence for Computational Chemistry and Pharmacy</w:t>
      </w:r>
      <w:r>
        <w:rPr>
          <w:rFonts w:hint="eastAsia"/>
          <w:lang w:val="en-US" w:eastAsia="zh-CN"/>
        </w:rPr>
        <w:t xml:space="preserve"> </w:t>
      </w:r>
      <w:r>
        <w:t>|</w:t>
      </w:r>
      <w:r>
        <w:rPr>
          <w:rFonts w:hint="eastAsia"/>
          <w:lang w:val="en-US" w:eastAsia="zh-CN"/>
        </w:rPr>
        <w:t xml:space="preserve"> </w:t>
      </w:r>
      <w:r>
        <w:t>开设档期：</w:t>
      </w:r>
      <w:r>
        <w:rPr>
          <w:rFonts w:hint="eastAsia"/>
          <w:lang w:val="en-US" w:eastAsia="zh-CN"/>
        </w:rPr>
        <w:t>1月</w:t>
      </w:r>
    </w:p>
    <w:p>
      <w:pPr>
        <w:spacing w:line="360" w:lineRule="auto"/>
        <w:ind w:firstLine="432"/>
        <w:jc w:val="left"/>
        <w:rPr>
          <w:rFonts w:ascii="Calibri" w:hAnsi="Calibri" w:eastAsia="等线" w:cs="Calibri"/>
        </w:rPr>
      </w:pPr>
      <w:r>
        <w:t>本专题沿「分子模拟—药物发现」链条应用人工智能，采用跨学科「必修＋选修」双层结构。必修课建立分子力场与自由能计算、计算化学的密度泛函理论、机器学习原子间势、超分子化学与动态高分子网络、AI 驱动药物发现与多组学六项基础；选修课延伸至电池材料与固态电化学建模、节能 AI 硬件氧化物薄膜、靶向药物的生成式从头设计与通向临床试验的端到端流程。</w:t>
      </w:r>
      <w:r>
        <w:rPr>
          <w:rFonts w:hint="eastAsia"/>
          <w:lang w:eastAsia="zh-CN"/>
        </w:rPr>
        <w:t>学生</w:t>
      </w:r>
      <w:r>
        <w:t>在一期内跨越化学、材料建模、数据科学与药学。专题以导师制结项课题收束：</w:t>
      </w:r>
      <w:r>
        <w:rPr>
          <w:rFonts w:hint="eastAsia"/>
          <w:lang w:eastAsia="zh-CN"/>
        </w:rPr>
        <w:t>学生</w:t>
      </w:r>
      <w:r>
        <w:t>分组在命题人指导下完成固态电池锂离子扩散的机器学习原子间势、癌症治疗中的 AI 驱动分子对接与药物管线开发、葫芦脲介导超分子结合的自由能计算，并参访高性能计算中心与 Melville 实验室。</w:t>
      </w:r>
    </w:p>
    <w:p>
      <w:pPr>
        <w:spacing w:line="360" w:lineRule="auto"/>
        <w:ind w:firstLine="432"/>
        <w:jc w:val="left"/>
        <w:rPr>
          <w:rFonts w:ascii="Calibri" w:hAnsi="Calibri" w:eastAsia="等线" w:cs="Calibri"/>
        </w:rPr>
      </w:pPr>
      <w:r>
        <w:t>先修建议：</w:t>
      </w:r>
    </w:p>
    <w:p>
      <w:pPr>
        <w:pStyle w:val="27"/>
        <w:widowControl/>
        <w:numPr>
          <w:ilvl w:val="0"/>
          <w:numId w:val="1"/>
        </w:numPr>
        <w:spacing w:line="360" w:lineRule="auto"/>
        <w:ind w:firstLineChars="0"/>
        <w:jc w:val="left"/>
        <w:rPr>
          <w:rFonts w:ascii="等线" w:hAnsi="等线" w:eastAsia="等线" w:cs="等线"/>
          <w:szCs w:val="21"/>
        </w:rPr>
      </w:pPr>
      <w:r>
        <w:rPr>
          <w:szCs w:val="21"/>
        </w:rPr>
        <w:t>面向科学计算的 Python 编程与数据处理　Python Programming and Data Handling for Scientific Computing</w:t>
      </w:r>
    </w:p>
    <w:p>
      <w:pPr>
        <w:pStyle w:val="27"/>
        <w:widowControl/>
        <w:numPr>
          <w:ilvl w:val="0"/>
          <w:numId w:val="1"/>
        </w:numPr>
        <w:spacing w:line="360" w:lineRule="auto"/>
        <w:ind w:firstLineChars="0"/>
        <w:jc w:val="left"/>
        <w:rPr>
          <w:rFonts w:ascii="等线" w:hAnsi="等线" w:eastAsia="等线" w:cs="等线"/>
          <w:szCs w:val="21"/>
        </w:rPr>
      </w:pPr>
      <w:r>
        <w:rPr>
          <w:szCs w:val="21"/>
        </w:rPr>
        <w:t>人工智能的数学基础：线性代数、微积分与概率　Mathematical Foundations for AI: Linear Algebra, Calculus and Probability</w:t>
      </w:r>
    </w:p>
    <w:p>
      <w:pPr>
        <w:pStyle w:val="27"/>
        <w:widowControl/>
        <w:numPr>
          <w:ilvl w:val="0"/>
          <w:numId w:val="1"/>
        </w:numPr>
        <w:spacing w:line="360" w:lineRule="auto"/>
        <w:ind w:firstLineChars="0"/>
        <w:jc w:val="left"/>
        <w:rPr>
          <w:rFonts w:ascii="等线" w:hAnsi="等线" w:eastAsia="等线" w:cs="等线"/>
          <w:szCs w:val="21"/>
        </w:rPr>
      </w:pPr>
      <w:r>
        <w:rPr>
          <w:szCs w:val="21"/>
        </w:rPr>
        <w:t>分子结构与材料建模导论　Introduction to Molecular Structure and Materials Modelling</w:t>
      </w:r>
    </w:p>
    <w:tbl>
      <w:tblPr>
        <w:tblStyle w:val="14"/>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 xml:space="preserve">▎第一周 · 必修课程 | Week 1 · </w:t>
            </w:r>
            <w:r>
              <w:rPr>
                <w:rFonts w:hint="eastAsia"/>
              </w:rPr>
              <w:t>4</w:t>
            </w:r>
            <w:r>
              <w:t xml:space="preserve"> 门必修课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59" w:type="dxa"/>
          </w:tcPr>
          <w:p>
            <w:pPr>
              <w:spacing w:line="360" w:lineRule="auto"/>
            </w:pPr>
            <w:r>
              <w:t>分子力场与自由能计算　Molecular Force Fields and Free Energy Calculation</w:t>
            </w:r>
          </w:p>
          <w:p>
            <w:pPr>
              <w:spacing w:line="360" w:lineRule="auto"/>
            </w:pPr>
            <w:r>
              <w:t>授课人：Prof. Oren A. Scherman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计算化学的密度泛函理论（DFT）　Density Functional Theory (DFT) for Computational Chemistry</w:t>
            </w:r>
          </w:p>
          <w:p>
            <w:pPr>
              <w:spacing w:line="360" w:lineRule="auto"/>
            </w:pPr>
            <w:r>
              <w:t>授课人：Prof. Seán Kavanagh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计算化学的机器学习原子间势　Machine Learning Interatomic Potentials for Computational Chemistry</w:t>
            </w:r>
          </w:p>
          <w:p>
            <w:pPr>
              <w:spacing w:line="360" w:lineRule="auto"/>
            </w:pPr>
            <w:r>
              <w:t>授课人：Prof. Seán Kavanagh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AI驱动药物发现与分子设计　AI-Driven Drug Discovery and Molecular Design</w:t>
            </w:r>
          </w:p>
          <w:p>
            <w:pPr>
              <w:spacing w:line="360" w:lineRule="auto"/>
            </w:pPr>
            <w:r>
              <w:t>授课人：Dr. Ying Sims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▎第二周 · 选修方向 | 六选四</w:t>
            </w:r>
          </w:p>
          <w:p>
            <w:pPr>
              <w:spacing w:line="360" w:lineRule="auto"/>
            </w:pPr>
            <w:r>
              <w:t>可根据感兴趣的小组结项科研项目方向选择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课程1：电池材料与固态电化学建模　Battery Materials and Solid-State Electrochemistry Modelling</w:t>
            </w:r>
          </w:p>
          <w:p>
            <w:pPr>
              <w:spacing w:line="360" w:lineRule="auto"/>
            </w:pPr>
            <w:r>
              <w:t>授课人：Prof. Seán Kavanagh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课程2：面向AI硬件的节能氧化物薄膜　Oxide Thin Films for Energy-Efficient Electronics in AI Hardware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课程3：生成式从头设计：疾病靶向药物设计与递送　Generative De Novo Engineering: Targeted Drug Design and Delivery for Disease</w:t>
            </w:r>
          </w:p>
          <w:p>
            <w:pPr>
              <w:spacing w:line="360" w:lineRule="auto"/>
            </w:pPr>
            <w:r>
              <w:t>授课人：Dr. Ying Sims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课程4：通向临床试验的端到端计算流程　End-To-End Computational Pipeline to Clinical Trials</w:t>
            </w:r>
          </w:p>
          <w:p>
            <w:pPr>
              <w:spacing w:line="360" w:lineRule="auto"/>
            </w:pPr>
            <w:r>
              <w:t>授课人：Dr. Ying Sims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课程5：高分子合成、表征及其生物医学转化应用　Polymer Synthesis, Characterization and Application in Biomedical Translational Research</w:t>
            </w:r>
          </w:p>
          <w:p>
            <w:pPr>
              <w:spacing w:line="360" w:lineRule="auto"/>
            </w:pPr>
            <w:r>
              <w:t>授课人：Prof. Oren A. Scherman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课程6：计算材料开源工作流（doped）　Open-Source Workflows for Computational Materials (doped)</w:t>
            </w:r>
          </w:p>
          <w:p>
            <w:pPr>
              <w:spacing w:line="360" w:lineRule="auto"/>
            </w:pPr>
            <w:r>
              <w:t>授课人：Prof. Seán Kavanagh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▎结项科研课题 | Capstone Projects · 三选一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rPr>
                <w:b/>
                <w:bCs/>
                <w:u w:val="single"/>
              </w:rPr>
              <w:t>结项课题1：</w:t>
            </w:r>
            <w:r>
              <w:t>固态电池中锂离子扩散的机器学习原子间势　Machine-Learning Interatomic Potentials for Li-ion Diffusion in Solid-State Batteries</w:t>
            </w:r>
          </w:p>
          <w:p>
            <w:pPr>
              <w:spacing w:line="360" w:lineRule="auto"/>
            </w:pPr>
            <w:r>
              <w:t>指导导师：Prof. Seán Kavanagh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rPr>
                <w:b/>
                <w:bCs/>
                <w:u w:val="single"/>
              </w:rPr>
              <w:t>结项课题2：</w:t>
            </w:r>
            <w:r>
              <w:t>面向癌症治疗的AI驱动分子对接与药物管线开发　AI-Driven Molecular Docking and Drug Pipeline Development for Cancer Therapy</w:t>
            </w:r>
          </w:p>
          <w:p>
            <w:pPr>
              <w:spacing w:line="360" w:lineRule="auto"/>
            </w:pPr>
            <w:r>
              <w:t>指导导师：Dr. Ying Sims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rPr>
                <w:b/>
                <w:bCs/>
                <w:u w:val="single"/>
              </w:rPr>
              <w:t>结项课题3：</w:t>
            </w:r>
            <w:r>
              <w:t>葫芦脲介导超分子结合的自由能计算　Free Energy Calculation for Cucurbituril-Mediated Supramolecular Binding</w:t>
            </w:r>
          </w:p>
          <w:p>
            <w:pPr>
              <w:spacing w:line="360" w:lineRule="auto"/>
            </w:pPr>
            <w:r>
              <w:t>指导导师：Prof. Oren A. Scherman</w:t>
            </w:r>
          </w:p>
        </w:tc>
      </w:tr>
    </w:tbl>
    <w:p>
      <w:pPr>
        <w:pStyle w:val="27"/>
        <w:widowControl/>
        <w:numPr>
          <w:ilvl w:val="0"/>
          <w:numId w:val="0"/>
        </w:numPr>
        <w:spacing w:line="360" w:lineRule="auto"/>
        <w:ind w:leftChars="0"/>
        <w:jc w:val="left"/>
        <w:rPr>
          <w:b/>
          <w:bCs/>
          <w:szCs w:val="21"/>
        </w:rPr>
      </w:pPr>
    </w:p>
    <w:p>
      <w:pPr>
        <w:pStyle w:val="27"/>
        <w:widowControl/>
        <w:numPr>
          <w:ilvl w:val="0"/>
          <w:numId w:val="2"/>
        </w:numPr>
        <w:spacing w:line="360" w:lineRule="auto"/>
        <w:ind w:left="0" w:leftChars="0" w:firstLine="0" w:firstLineChars="0"/>
        <w:jc w:val="left"/>
        <w:rPr>
          <w:rFonts w:ascii="等线" w:hAnsi="等线" w:eastAsia="等线" w:cs="等线"/>
          <w:b/>
          <w:bCs/>
          <w:sz w:val="24"/>
          <w:szCs w:val="24"/>
        </w:rPr>
      </w:pPr>
      <w:r>
        <w:rPr>
          <w:b/>
          <w:bCs/>
          <w:sz w:val="24"/>
          <w:szCs w:val="24"/>
        </w:rPr>
        <w:t>方向 3</w:t>
      </w:r>
      <w:r>
        <w:rPr>
          <w:rFonts w:hint="eastAsia"/>
          <w:b/>
          <w:bCs/>
          <w:sz w:val="24"/>
          <w:szCs w:val="24"/>
          <w:lang w:eastAsia="zh-CN"/>
        </w:rPr>
        <w:t>：</w:t>
      </w:r>
      <w:r>
        <w:rPr>
          <w:b/>
          <w:bCs/>
          <w:sz w:val="24"/>
          <w:szCs w:val="24"/>
        </w:rPr>
        <w:t>人工智能赋能生物医学科学与计算神经科学</w:t>
      </w:r>
    </w:p>
    <w:p>
      <w:pPr>
        <w:spacing w:line="360" w:lineRule="auto"/>
        <w:ind w:firstLine="432"/>
        <w:jc w:val="left"/>
        <w:rPr>
          <w:rFonts w:hint="default" w:ascii="Calibri" w:hAnsi="Calibri" w:eastAsia="宋体" w:cs="Calibri"/>
          <w:lang w:val="en-US" w:eastAsia="zh-CN"/>
        </w:rPr>
      </w:pPr>
      <w:r>
        <w:t>AI4S: Artificial Intelligence in Biomedical Sciences and Computational Neuroscience　|　开设档期：</w:t>
      </w:r>
      <w:r>
        <w:rPr>
          <w:rFonts w:hint="eastAsia"/>
          <w:lang w:val="en-US" w:eastAsia="zh-CN"/>
        </w:rPr>
        <w:t>2月</w:t>
      </w:r>
    </w:p>
    <w:p>
      <w:pPr>
        <w:spacing w:line="360" w:lineRule="auto"/>
        <w:ind w:firstLine="432"/>
        <w:jc w:val="left"/>
        <w:rPr>
          <w:rFonts w:ascii="Calibri" w:hAnsi="Calibri" w:eastAsia="等线" w:cs="Calibri"/>
        </w:rPr>
      </w:pPr>
      <w:r>
        <w:t>本专题将机器学习与概率建模引入生物医学科学与计算神经科学，采用跨学科「必修＋选修」双层结构。必修课覆盖神经环路、连接组学与定量实验设计，科学数据的模型选择与评估，生物医学时间序列的概率生成建模与不确定性量化，以及 AI 驱动药物发现与多组学；选修课支持方向分流，含视网膜镶嵌的智能体建模与空间统计、含物理信息漂移的流匹配生成模型、面向数字孪生与虚拟临床试验的机理启发生成式 AI，以及组学到临床试验的端到端流程。授课由剑桥学者承担，专题以导师制结项课题收束：</w:t>
      </w:r>
      <w:r>
        <w:rPr>
          <w:rFonts w:hint="eastAsia"/>
          <w:lang w:val="en-US" w:eastAsia="zh-CN"/>
        </w:rPr>
        <w:t>学生</w:t>
      </w:r>
      <w:r>
        <w:t>分组在导师全程指导下把具体问题做成可复现交付物——突触间隙的深度学习分割与连接组重建、肿瘤体积轨迹的流匹配建模、癌症药物重定位的 AI 分子对接。</w:t>
      </w:r>
    </w:p>
    <w:p>
      <w:pPr>
        <w:spacing w:line="360" w:lineRule="auto"/>
        <w:ind w:firstLine="432"/>
        <w:jc w:val="left"/>
        <w:rPr>
          <w:rFonts w:ascii="Calibri" w:hAnsi="Calibri" w:eastAsia="等线" w:cs="Calibri"/>
        </w:rPr>
      </w:pPr>
      <w:r>
        <w:t>先修建议：</w:t>
      </w:r>
    </w:p>
    <w:p>
      <w:pPr>
        <w:pStyle w:val="27"/>
        <w:widowControl/>
        <w:numPr>
          <w:ilvl w:val="0"/>
          <w:numId w:val="1"/>
        </w:numPr>
        <w:spacing w:line="360" w:lineRule="auto"/>
        <w:ind w:firstLineChars="0"/>
        <w:jc w:val="left"/>
        <w:rPr>
          <w:rFonts w:ascii="等线" w:hAnsi="等线" w:eastAsia="等线" w:cs="等线"/>
          <w:szCs w:val="21"/>
        </w:rPr>
      </w:pPr>
      <w:r>
        <w:rPr>
          <w:szCs w:val="21"/>
        </w:rPr>
        <w:t>面向数据驱动研究的 Python 科学计算　Scientific Computing with Python for Data-Driven Research</w:t>
      </w:r>
    </w:p>
    <w:p>
      <w:pPr>
        <w:pStyle w:val="27"/>
        <w:widowControl/>
        <w:numPr>
          <w:ilvl w:val="0"/>
          <w:numId w:val="1"/>
        </w:numPr>
        <w:spacing w:line="360" w:lineRule="auto"/>
        <w:ind w:firstLineChars="0"/>
        <w:jc w:val="left"/>
        <w:rPr>
          <w:rFonts w:ascii="等线" w:hAnsi="等线" w:eastAsia="等线" w:cs="等线"/>
          <w:szCs w:val="21"/>
        </w:rPr>
      </w:pPr>
      <w:r>
        <w:rPr>
          <w:szCs w:val="21"/>
        </w:rPr>
        <w:t>学习与推断的数学基础　Mathematical Foundations for Learning and Inference</w:t>
      </w:r>
    </w:p>
    <w:p>
      <w:pPr>
        <w:pStyle w:val="27"/>
        <w:widowControl/>
        <w:numPr>
          <w:ilvl w:val="0"/>
          <w:numId w:val="1"/>
        </w:numPr>
        <w:spacing w:line="360" w:lineRule="auto"/>
        <w:ind w:firstLineChars="0"/>
        <w:jc w:val="left"/>
        <w:rPr>
          <w:rFonts w:ascii="等线" w:hAnsi="等线" w:eastAsia="等线" w:cs="等线"/>
          <w:szCs w:val="21"/>
        </w:rPr>
      </w:pPr>
      <w:r>
        <w:rPr>
          <w:szCs w:val="21"/>
        </w:rPr>
        <w:t>神经科学与生物医学影像数据素养　Neuroscience and Biomedical Imaging Data Literacy</w:t>
      </w:r>
    </w:p>
    <w:p>
      <w:pPr>
        <w:pStyle w:val="27"/>
        <w:widowControl/>
        <w:numPr>
          <w:ilvl w:val="0"/>
          <w:numId w:val="0"/>
        </w:numPr>
        <w:spacing w:line="360" w:lineRule="auto"/>
        <w:ind w:left="420" w:leftChars="0"/>
        <w:jc w:val="left"/>
        <w:rPr>
          <w:rFonts w:ascii="等线" w:hAnsi="等线" w:eastAsia="等线" w:cs="等线"/>
          <w:szCs w:val="21"/>
        </w:rPr>
      </w:pPr>
    </w:p>
    <w:tbl>
      <w:tblPr>
        <w:tblStyle w:val="14"/>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▎第一周 · 必修课程 | Week 1 · 4 门必修课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神经环路、连接组学与定量实验设计　Neural Circuits, Connectomics and Quantitative Experimental Design</w:t>
            </w:r>
          </w:p>
          <w:p>
            <w:pPr>
              <w:spacing w:line="360" w:lineRule="auto"/>
            </w:pPr>
            <w:r>
              <w:t>授课人：Prof. Stephen John Eglen、Prof. Albert Cardona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科学数据的机器学习：模型选择、评估与解释　Machine Learning for Scientific Data: Model Selection, Evaluation and Interpretation</w:t>
            </w:r>
          </w:p>
          <w:p>
            <w:pPr>
              <w:spacing w:line="360" w:lineRule="auto"/>
            </w:pPr>
            <w:r>
              <w:t>授课人：Dr. Kyriakos Flouris、Prof. Pietro Liò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生物医学时间序列的概率生成建模与不确定性量化　Probabilistic Generative Modelling and Uncertainty Quantification for Biomedical Time Series</w:t>
            </w:r>
          </w:p>
          <w:p>
            <w:pPr>
              <w:spacing w:line="360" w:lineRule="auto"/>
            </w:pPr>
            <w:r>
              <w:t>授课人：Dr. Kyriakos Flouris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AI驱动药物发现与多组学　AI-Driven Drug Discovery and Multi-Omics</w:t>
            </w:r>
          </w:p>
          <w:p>
            <w:pPr>
              <w:spacing w:line="360" w:lineRule="auto"/>
            </w:pPr>
            <w:r>
              <w:t>授课人：Dr. Ying Sims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▎第二周 · 选修方向 | 六选四</w:t>
            </w:r>
          </w:p>
          <w:p>
            <w:pPr>
              <w:spacing w:line="360" w:lineRule="auto"/>
            </w:pPr>
            <w:r>
              <w:t>可根据感兴趣的小组结项科研项目方向选择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课程1：视网膜镶嵌形成的智能体建模与空间统计　Agent-Based Modelling and Spatial Statistics for Retinal Mosaic Formation</w:t>
            </w:r>
          </w:p>
          <w:p>
            <w:pPr>
              <w:spacing w:line="360" w:lineRule="auto"/>
            </w:pPr>
            <w:r>
              <w:t>授课人：Prof. Stephen John Eglen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课程2：含物理信息漂移项的时变生物医学数据流匹配生成模型　Flow-Matching Generative Models for Time-Dependent Biomedical Data with Physics-Informed Drift</w:t>
            </w:r>
          </w:p>
          <w:p>
            <w:pPr>
              <w:spacing w:line="360" w:lineRule="auto"/>
            </w:pPr>
            <w:r>
              <w:t>授课人：Dr. Kyriakos Flouris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课程3：连续电子显微与生物医学图像分割　Segmentation of Serial Electron Microscopy and Biomedical Images</w:t>
            </w:r>
          </w:p>
          <w:p>
            <w:pPr>
              <w:spacing w:line="360" w:lineRule="auto"/>
            </w:pPr>
            <w:r>
              <w:t>授课人：Prof. Albert Cardona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课程4：通向临床试验的端到端计算流程　End-To-End Computational Pipeline to Clinical Trials</w:t>
            </w:r>
          </w:p>
          <w:p>
            <w:pPr>
              <w:spacing w:line="360" w:lineRule="auto"/>
            </w:pPr>
            <w:r>
              <w:t>授课人：Dr. Ying Sims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课程5：生成式从头设计：疾病靶向药物设计与递送　Generative De Novo Engineering: Targeted Drug Design and Delivery for Disease</w:t>
            </w:r>
          </w:p>
          <w:p>
            <w:pPr>
              <w:spacing w:line="360" w:lineRule="auto"/>
            </w:pPr>
            <w:r>
              <w:t>授课人：Dr. Ying Sims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课程6：面向数字孪生与虚拟临床试验的机理启发生成式AI　Mechanistic-Inspired Generative AI for Digital Twins and In-Silico Trials</w:t>
            </w:r>
          </w:p>
          <w:p>
            <w:pPr>
              <w:spacing w:line="360" w:lineRule="auto"/>
            </w:pPr>
            <w:r>
              <w:t>授课人：Dr. Kyriakos Flouris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▎结项科研课题 | Capstone Projects · 三选一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rPr>
                <w:b/>
                <w:bCs/>
                <w:u w:val="single"/>
              </w:rPr>
              <w:t>结项课题1：</w:t>
            </w:r>
            <w:r>
              <w:t>面向癌症治疗的AI驱动分子对接与药物重定位　AI-Driven Molecular Docking for Targeted Drug Repurposing in Cancer Therapy</w:t>
            </w:r>
          </w:p>
          <w:p>
            <w:pPr>
              <w:spacing w:line="360" w:lineRule="auto"/>
            </w:pPr>
            <w:r>
              <w:t>指导导师：Dr. Ying Sims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rPr>
                <w:b/>
                <w:bCs/>
                <w:u w:val="single"/>
              </w:rPr>
              <w:t>结项课题2：</w:t>
            </w:r>
            <w:r>
              <w:t>连续电镜体数据中突触间隙的深度学习分割与果蝇幼虫连接组重建　Deep learning-based segmentation of synaptic clefts in serial electron microscopy volumes for Drosophila larval connectome reconstruction</w:t>
            </w:r>
          </w:p>
          <w:p>
            <w:pPr>
              <w:spacing w:line="360" w:lineRule="auto"/>
            </w:pPr>
            <w:r>
              <w:t>指导导师：Prof. Albert Cardona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rPr>
                <w:b/>
                <w:bCs/>
                <w:u w:val="single"/>
              </w:rPr>
              <w:t>结项课题3：</w:t>
            </w:r>
            <w:r>
              <w:t>含物理信息漂移与不确定性量化的肿瘤体积轨迹流匹配生成建模　Flow-matching generative modelling of tumour volume trajectories with physics-informed drift and uncertainty quantification</w:t>
            </w:r>
          </w:p>
          <w:p>
            <w:pPr>
              <w:spacing w:line="360" w:lineRule="auto"/>
            </w:pPr>
            <w:r>
              <w:t>指导导师：Dr. Kyriakos Flouris</w:t>
            </w:r>
          </w:p>
        </w:tc>
      </w:tr>
    </w:tbl>
    <w:p>
      <w:pPr>
        <w:pStyle w:val="27"/>
        <w:widowControl/>
        <w:numPr>
          <w:ilvl w:val="0"/>
          <w:numId w:val="0"/>
        </w:numPr>
        <w:spacing w:line="360" w:lineRule="auto"/>
        <w:ind w:leftChars="0"/>
        <w:jc w:val="left"/>
        <w:rPr>
          <w:b/>
          <w:bCs/>
          <w:szCs w:val="21"/>
        </w:rPr>
      </w:pPr>
    </w:p>
    <w:p>
      <w:pPr>
        <w:pStyle w:val="27"/>
        <w:widowControl/>
        <w:numPr>
          <w:ilvl w:val="0"/>
          <w:numId w:val="2"/>
        </w:numPr>
        <w:spacing w:line="360" w:lineRule="auto"/>
        <w:ind w:left="0" w:leftChars="0" w:firstLine="0" w:firstLineChars="0"/>
        <w:jc w:val="left"/>
        <w:rPr>
          <w:rFonts w:ascii="等线" w:hAnsi="等线" w:eastAsia="等线" w:cs="等线"/>
          <w:b/>
          <w:bCs/>
          <w:sz w:val="24"/>
          <w:szCs w:val="24"/>
        </w:rPr>
      </w:pPr>
      <w:r>
        <w:rPr>
          <w:b/>
          <w:bCs/>
          <w:sz w:val="24"/>
          <w:szCs w:val="24"/>
        </w:rPr>
        <w:t>方向4</w:t>
      </w:r>
      <w:r>
        <w:rPr>
          <w:rFonts w:hint="eastAsia"/>
          <w:b/>
          <w:bCs/>
          <w:sz w:val="24"/>
          <w:szCs w:val="24"/>
          <w:lang w:eastAsia="zh-CN"/>
        </w:rPr>
        <w:t>：</w:t>
      </w:r>
      <w:r>
        <w:rPr>
          <w:b/>
          <w:bCs/>
          <w:sz w:val="24"/>
          <w:szCs w:val="24"/>
        </w:rPr>
        <w:t>人工智能在生物医学数据科学与计算生物医学中的应用</w:t>
      </w:r>
    </w:p>
    <w:p>
      <w:pPr>
        <w:spacing w:line="360" w:lineRule="auto"/>
        <w:ind w:firstLine="432"/>
        <w:jc w:val="left"/>
        <w:rPr>
          <w:rFonts w:hint="default" w:ascii="Calibri" w:hAnsi="Calibri" w:eastAsia="宋体" w:cs="Calibri"/>
          <w:lang w:val="en-US" w:eastAsia="zh-CN"/>
        </w:rPr>
      </w:pPr>
      <w:r>
        <w:t>AI4S: Artificial Intelligence in Biomedical Data Sciences and Computational Biomedicine　|　开设档期：</w:t>
      </w:r>
      <w:r>
        <w:rPr>
          <w:rFonts w:hint="eastAsia"/>
          <w:lang w:val="en-US" w:eastAsia="zh-CN"/>
        </w:rPr>
        <w:t>2月</w:t>
      </w:r>
    </w:p>
    <w:p>
      <w:pPr>
        <w:spacing w:line="360" w:lineRule="auto"/>
        <w:ind w:firstLine="432"/>
        <w:jc w:val="left"/>
        <w:rPr>
          <w:rFonts w:ascii="Calibri" w:hAnsi="Calibri" w:eastAsia="等线" w:cs="Calibri"/>
        </w:rPr>
      </w:pPr>
      <w:r>
        <w:t>本专题聚焦生物医学数据科学与计算生物医学，把统计推断、生成建模与可复现研究计算视为一套方法论工具箱，采用跨学科「必修＋选修」双层结构。必修课建立基因组与生物医学数据的统计推断、多模态数据的生成建模、科学数据的机器学习与神经网络分析、生物医学流程的可复现研究计算；选修课延伸至多基因风险评分构建与验证、跨癌种多效性与风险预测、空间转录组的图深度学习与可复现基因组学工作流。授课者来自剑桥遗传流行病学、计算神经科学与基因组学领域。专题以导师制结项课题收束：</w:t>
      </w:r>
      <w:r>
        <w:rPr>
          <w:rFonts w:hint="eastAsia"/>
          <w:lang w:val="en-US" w:eastAsia="zh-CN"/>
        </w:rPr>
        <w:t>学生</w:t>
      </w:r>
      <w:r>
        <w:t>在命题人指导下交付可复现流程——基于公开 GWAS 数据构建并验证癌症多基因风险评分、神经连接组的生成建模与拓扑分析、靶向药物重定位的 AI 分子对接。</w:t>
      </w:r>
    </w:p>
    <w:p>
      <w:pPr>
        <w:spacing w:line="360" w:lineRule="auto"/>
        <w:ind w:firstLine="432"/>
        <w:jc w:val="left"/>
        <w:rPr>
          <w:rFonts w:ascii="Calibri" w:hAnsi="Calibri" w:eastAsia="等线" w:cs="Calibri"/>
        </w:rPr>
      </w:pPr>
      <w:r>
        <w:t>先修建议：</w:t>
      </w:r>
    </w:p>
    <w:p>
      <w:pPr>
        <w:pStyle w:val="27"/>
        <w:widowControl/>
        <w:numPr>
          <w:ilvl w:val="0"/>
          <w:numId w:val="1"/>
        </w:numPr>
        <w:spacing w:line="360" w:lineRule="auto"/>
        <w:ind w:firstLineChars="0"/>
        <w:jc w:val="left"/>
        <w:rPr>
          <w:rFonts w:ascii="等线" w:hAnsi="等线" w:eastAsia="等线" w:cs="等线"/>
          <w:szCs w:val="21"/>
        </w:rPr>
      </w:pPr>
      <w:r>
        <w:rPr>
          <w:szCs w:val="21"/>
        </w:rPr>
        <w:t>面向科学计算与可复现分析的 Python　Python for Scientific Computing and Reproducible Analysis</w:t>
      </w:r>
    </w:p>
    <w:p>
      <w:pPr>
        <w:pStyle w:val="27"/>
        <w:widowControl/>
        <w:numPr>
          <w:ilvl w:val="0"/>
          <w:numId w:val="1"/>
        </w:numPr>
        <w:spacing w:line="360" w:lineRule="auto"/>
        <w:ind w:firstLineChars="0"/>
        <w:jc w:val="left"/>
        <w:rPr>
          <w:rFonts w:ascii="等线" w:hAnsi="等线" w:eastAsia="等线" w:cs="等线"/>
          <w:szCs w:val="21"/>
        </w:rPr>
      </w:pPr>
      <w:r>
        <w:rPr>
          <w:szCs w:val="21"/>
        </w:rPr>
        <w:t>机器学习与统计推断的数学基础　Mathematical Foundations for Machine Learning and Statistical Inference</w:t>
      </w:r>
    </w:p>
    <w:p>
      <w:pPr>
        <w:pStyle w:val="27"/>
        <w:widowControl/>
        <w:numPr>
          <w:ilvl w:val="0"/>
          <w:numId w:val="1"/>
        </w:numPr>
        <w:spacing w:line="360" w:lineRule="auto"/>
        <w:ind w:firstLineChars="0"/>
        <w:jc w:val="left"/>
        <w:rPr>
          <w:rFonts w:ascii="等线" w:hAnsi="等线" w:eastAsia="等线" w:cs="等线"/>
          <w:szCs w:val="21"/>
        </w:rPr>
      </w:pPr>
      <w:r>
        <w:rPr>
          <w:szCs w:val="21"/>
        </w:rPr>
        <w:t>生物医学 AI 的分子与基因组学基础　Molecular and Genomic Essentials for AI in Biomedicine</w:t>
      </w:r>
    </w:p>
    <w:p>
      <w:pPr>
        <w:pStyle w:val="27"/>
        <w:widowControl/>
        <w:numPr>
          <w:ilvl w:val="0"/>
          <w:numId w:val="0"/>
        </w:numPr>
        <w:spacing w:line="360" w:lineRule="auto"/>
        <w:ind w:left="420" w:leftChars="0"/>
        <w:jc w:val="left"/>
        <w:rPr>
          <w:rFonts w:ascii="等线" w:hAnsi="等线" w:eastAsia="等线" w:cs="等线"/>
          <w:szCs w:val="21"/>
        </w:rPr>
      </w:pPr>
    </w:p>
    <w:tbl>
      <w:tblPr>
        <w:tblStyle w:val="14"/>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▎第一周 · 必修课程 | Week 1 · 5 门必修课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开幕式　Opening Session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基因组与生物医学数据的统计推断　Statistical Inference for Genomic and Biomedical Data</w:t>
            </w:r>
          </w:p>
          <w:p>
            <w:pPr>
              <w:spacing w:line="360" w:lineRule="auto"/>
            </w:pPr>
            <w:r>
              <w:t>授课人：Dr. Siddhartha Kar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多模态生物医学数据的生成建模　Generative Modelling for Multimodal Biomedical Data</w:t>
            </w:r>
          </w:p>
          <w:p>
            <w:pPr>
              <w:spacing w:line="360" w:lineRule="auto"/>
            </w:pPr>
            <w:r>
              <w:t>授课人：Dr. Kyriakos Flouris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科学数据的机器学习与神经网络分析　Machine Learning and Neural Networks for Scientific Data Analysis</w:t>
            </w:r>
          </w:p>
          <w:p>
            <w:pPr>
              <w:spacing w:line="360" w:lineRule="auto"/>
            </w:pPr>
            <w:r>
              <w:t>授课人：Prof. Stephen John Eglen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生物医学数据流程的可复现研究计算　Reproducible Research Computing for Biomedical Data Pipelines</w:t>
            </w:r>
          </w:p>
          <w:p>
            <w:pPr>
              <w:spacing w:line="360" w:lineRule="auto"/>
            </w:pPr>
            <w:r>
              <w:t>授课人：Dr. Ying Sims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▎第二周 · 选修方向 | 六选四</w:t>
            </w:r>
          </w:p>
          <w:p>
            <w:pPr>
              <w:spacing w:line="360" w:lineRule="auto"/>
            </w:pPr>
            <w:r>
              <w:t>可根据感兴趣的小组结项科研项目方向选择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课程1：神经系统发育的数学模拟　Mathematical Simulation of Nervous System Development</w:t>
            </w:r>
          </w:p>
          <w:p>
            <w:pPr>
              <w:spacing w:line="360" w:lineRule="auto"/>
            </w:pPr>
            <w:r>
              <w:t>授课人：Prof. Stephen John Eglen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课程2：端到端计算流程：从组学数据到临床试验　End-to-End Computational Pipelines: From Omics Data to Clinical Trials</w:t>
            </w:r>
          </w:p>
          <w:p>
            <w:pPr>
              <w:spacing w:line="360" w:lineRule="auto"/>
            </w:pPr>
            <w:r>
              <w:t>授课人：Dr. Ying Sims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课程3：跨癌种多效性与多癌症风险预测　Cross-Cancer Pleiotropy and Multi-Cancer Risk Prediction</w:t>
            </w:r>
          </w:p>
          <w:p>
            <w:pPr>
              <w:spacing w:line="360" w:lineRule="auto"/>
            </w:pPr>
            <w:r>
              <w:t>授课人：Dr. Siddhartha Kar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课程4：面向空间转录组与细胞通讯的图深度学习　Graph Deep Learning for Spatial Transcriptomics and Cell-Cell Communication</w:t>
            </w:r>
          </w:p>
          <w:p>
            <w:pPr>
              <w:spacing w:line="360" w:lineRule="auto"/>
            </w:pPr>
            <w:r>
              <w:t>授课人：Prof. Stephen John Eglen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课程5：基于PLINK的多基因风险评分构建与验证　Polygenic Risk Score Construction and Validation with PLINK</w:t>
            </w:r>
          </w:p>
          <w:p>
            <w:pPr>
              <w:spacing w:line="360" w:lineRule="auto"/>
            </w:pPr>
            <w:r>
              <w:t>授课人：Dr. Siddhartha Kar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课程6：可复现基因组学工作流：从头组装与质量评估　Reproducible Genomics Workflows: De Novo Assembly and Quality Evaluation</w:t>
            </w:r>
          </w:p>
          <w:p>
            <w:pPr>
              <w:spacing w:line="360" w:lineRule="auto"/>
            </w:pPr>
            <w:r>
              <w:t>授课人：Dr. Ying Sims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t>▎结项科研课题 | Capstone Projects · 三选一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rPr>
                <w:b/>
                <w:bCs/>
                <w:u w:val="single"/>
              </w:rPr>
              <w:t>结项课题1：</w:t>
            </w:r>
            <w:r>
              <w:t>面向癌症治疗的AI驱动分子对接与药物重定位　AI-Driven Molecular Docking for Targeted Drug Repurposing in Cancer Therapy</w:t>
            </w:r>
          </w:p>
          <w:p>
            <w:pPr>
              <w:spacing w:line="360" w:lineRule="auto"/>
            </w:pPr>
            <w:r>
              <w:t>指导导师：Dr. Ying Sims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rPr>
                <w:b/>
                <w:bCs/>
                <w:u w:val="single"/>
              </w:rPr>
              <w:t>结项课题</w:t>
            </w:r>
            <w:r>
              <w:rPr>
                <w:rFonts w:hint="eastAsia"/>
                <w:b/>
                <w:bCs/>
                <w:u w:val="single"/>
                <w:lang w:val="en-US" w:eastAsia="zh-CN"/>
              </w:rPr>
              <w:t>2</w:t>
            </w:r>
            <w:r>
              <w:rPr>
                <w:b/>
                <w:bCs/>
                <w:u w:val="single"/>
              </w:rPr>
              <w:t>：</w:t>
            </w:r>
            <w:r>
              <w:t>课题2：神经连接组的生成建模与拓扑分析　Generative Modeling and Topological Analysis of Neural Connectomes</w:t>
            </w:r>
          </w:p>
          <w:p>
            <w:pPr>
              <w:spacing w:line="360" w:lineRule="auto"/>
            </w:pPr>
            <w:r>
              <w:t>指导导师：Prof. Stephen John Eglen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tcPr>
          <w:p>
            <w:pPr>
              <w:spacing w:line="360" w:lineRule="auto"/>
            </w:pPr>
            <w:r>
              <w:rPr>
                <w:b/>
                <w:bCs/>
                <w:u w:val="single"/>
              </w:rPr>
              <w:t>结项课题</w:t>
            </w:r>
            <w:r>
              <w:rPr>
                <w:rFonts w:hint="eastAsia"/>
                <w:b/>
                <w:bCs/>
                <w:u w:val="single"/>
                <w:lang w:val="en-US" w:eastAsia="zh-CN"/>
              </w:rPr>
              <w:t>3</w:t>
            </w:r>
            <w:r>
              <w:rPr>
                <w:b/>
                <w:bCs/>
                <w:u w:val="single"/>
              </w:rPr>
              <w:t>：</w:t>
            </w:r>
            <w:r>
              <w:t>：基于公开GWAS汇总数据的癌症多基因风险评分构建与验证　Constructing and Validating a Polygenic Risk Score for Cancer Using Public GWAS Summary Data</w:t>
            </w:r>
          </w:p>
          <w:p>
            <w:pPr>
              <w:spacing w:line="360" w:lineRule="auto"/>
            </w:pPr>
            <w:r>
              <w:t>指导导师：Dr. Siddhartha Kar</w:t>
            </w:r>
          </w:p>
        </w:tc>
      </w:tr>
    </w:tbl>
    <w:p>
      <w:pPr>
        <w:spacing w:line="360" w:lineRule="auto"/>
        <w:rPr>
          <w:rFonts w:hint="eastAsia" w:ascii="等线" w:hAnsi="等线" w:eastAsia="等线" w:cs="等线"/>
          <w:szCs w:val="21"/>
        </w:rPr>
      </w:pPr>
    </w:p>
    <w:p>
      <w:pPr>
        <w:spacing w:line="360" w:lineRule="auto"/>
        <w:rPr>
          <w:rFonts w:ascii="等线" w:hAnsi="等线" w:eastAsia="等线" w:cs="等线"/>
          <w:szCs w:val="21"/>
        </w:rPr>
      </w:pPr>
      <w:r>
        <w:rPr>
          <w:rFonts w:hint="eastAsia" w:ascii="等线" w:hAnsi="等线" w:eastAsia="等线" w:cs="等线"/>
          <w:szCs w:val="21"/>
        </w:rPr>
        <w:t>【项目日程】(仅供参考，以实际安排为准)</w:t>
      </w:r>
    </w:p>
    <w:p>
      <w:pPr>
        <w:spacing w:line="360" w:lineRule="auto"/>
        <w:ind w:firstLine="432"/>
        <w:jc w:val="left"/>
        <w:rPr>
          <w:rFonts w:ascii="Calibri" w:hAnsi="Calibri" w:eastAsia="等线" w:cs="Calibri"/>
        </w:rPr>
      </w:pPr>
      <w:r>
        <w:t>两个档期采用同一日程结构，仅日期不同；第一周为跨学科必修课，第二周为选修方向课与结项课题。</w:t>
      </w:r>
    </w:p>
    <w:tbl>
      <w:tblPr>
        <w:tblStyle w:val="14"/>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7"/>
        <w:gridCol w:w="5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日程档期一 / 档期二</w:t>
            </w:r>
          </w:p>
        </w:tc>
        <w:tc>
          <w:tcPr>
            <w:tcW w:w="5822" w:type="dxa"/>
          </w:tcPr>
          <w:p>
            <w:pPr>
              <w:spacing w:line="360" w:lineRule="auto"/>
            </w:pPr>
            <w:r>
              <w:t>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Day 1</w:t>
            </w:r>
          </w:p>
        </w:tc>
        <w:tc>
          <w:tcPr>
            <w:tcW w:w="5822" w:type="dxa"/>
          </w:tcPr>
          <w:p>
            <w:pPr>
              <w:spacing w:line="360" w:lineRule="auto"/>
            </w:pPr>
            <w:r>
              <w:t>全天：抵达剑桥，酒店入住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Day 2</w:t>
            </w:r>
          </w:p>
        </w:tc>
        <w:tc>
          <w:tcPr>
            <w:tcW w:w="5822" w:type="dxa"/>
          </w:tcPr>
          <w:p>
            <w:pPr>
              <w:spacing w:line="360" w:lineRule="auto"/>
            </w:pPr>
            <w:r>
              <w:t>上午：项目启动 +【必修课一】</w:t>
            </w:r>
          </w:p>
          <w:p>
            <w:pPr>
              <w:spacing w:line="360" w:lineRule="auto"/>
            </w:pPr>
            <w:r>
              <w:t>下午：【文化体验活动】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Day 3</w:t>
            </w:r>
          </w:p>
        </w:tc>
        <w:tc>
          <w:tcPr>
            <w:tcW w:w="5822" w:type="dxa"/>
          </w:tcPr>
          <w:p>
            <w:pPr>
              <w:spacing w:line="360" w:lineRule="auto"/>
            </w:pPr>
            <w:r>
              <w:t>上午：【必修课二】</w:t>
            </w:r>
          </w:p>
          <w:p>
            <w:pPr>
              <w:spacing w:line="360" w:lineRule="auto"/>
            </w:pPr>
            <w:r>
              <w:t>下午：【参访与交流活动】实验室 / 研究机构参访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Day 4</w:t>
            </w:r>
          </w:p>
        </w:tc>
        <w:tc>
          <w:tcPr>
            <w:tcW w:w="5822" w:type="dxa"/>
          </w:tcPr>
          <w:p>
            <w:pPr>
              <w:spacing w:line="360" w:lineRule="auto"/>
            </w:pPr>
            <w:r>
              <w:t>上午：【必修课三】</w:t>
            </w:r>
          </w:p>
          <w:p>
            <w:pPr>
              <w:spacing w:line="360" w:lineRule="auto"/>
            </w:pPr>
            <w:r>
              <w:t>下午：【参访与交流活动】高性能计算中心参访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Day 5</w:t>
            </w:r>
          </w:p>
        </w:tc>
        <w:tc>
          <w:tcPr>
            <w:tcW w:w="5822" w:type="dxa"/>
          </w:tcPr>
          <w:p>
            <w:pPr>
              <w:spacing w:line="360" w:lineRule="auto"/>
            </w:pPr>
            <w:r>
              <w:t>上午：【必修课四】</w:t>
            </w:r>
          </w:p>
          <w:p>
            <w:pPr>
              <w:spacing w:line="360" w:lineRule="auto"/>
            </w:pPr>
            <w:r>
              <w:t>下午：【参访与交流活动】教授实验室参访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Day 6</w:t>
            </w:r>
          </w:p>
        </w:tc>
        <w:tc>
          <w:tcPr>
            <w:tcW w:w="5822" w:type="dxa"/>
          </w:tcPr>
          <w:p>
            <w:pPr>
              <w:spacing w:line="360" w:lineRule="auto"/>
            </w:pPr>
            <w:r>
              <w:t>上午：【必修课五】</w:t>
            </w:r>
          </w:p>
          <w:p>
            <w:pPr>
              <w:spacing w:line="360" w:lineRule="auto"/>
            </w:pPr>
            <w:r>
              <w:t>下午：【文化体验活动】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Day 7</w:t>
            </w:r>
          </w:p>
        </w:tc>
        <w:tc>
          <w:tcPr>
            <w:tcW w:w="5822" w:type="dxa"/>
          </w:tcPr>
          <w:p>
            <w:pPr>
              <w:spacing w:line="360" w:lineRule="auto"/>
            </w:pPr>
            <w:r>
              <w:t>全天：【文化活动】伦敦一日游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Day 8</w:t>
            </w:r>
          </w:p>
        </w:tc>
        <w:tc>
          <w:tcPr>
            <w:tcW w:w="5822" w:type="dxa"/>
          </w:tcPr>
          <w:p>
            <w:pPr>
              <w:spacing w:line="360" w:lineRule="auto"/>
            </w:pPr>
            <w:r>
              <w:t>全天：【文化活动】牛津一日游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Day 9</w:t>
            </w:r>
          </w:p>
        </w:tc>
        <w:tc>
          <w:tcPr>
            <w:tcW w:w="5822" w:type="dxa"/>
          </w:tcPr>
          <w:p>
            <w:pPr>
              <w:spacing w:line="360" w:lineRule="auto"/>
            </w:pPr>
            <w:r>
              <w:t>上午：【选修方向课一】</w:t>
            </w:r>
          </w:p>
          <w:p>
            <w:pPr>
              <w:spacing w:line="360" w:lineRule="auto"/>
            </w:pPr>
            <w:r>
              <w:t>下午：【选修方向课二】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Day 10</w:t>
            </w:r>
          </w:p>
        </w:tc>
        <w:tc>
          <w:tcPr>
            <w:tcW w:w="5822" w:type="dxa"/>
          </w:tcPr>
          <w:p>
            <w:pPr>
              <w:spacing w:line="360" w:lineRule="auto"/>
            </w:pPr>
            <w:r>
              <w:t>上午：【选修方向课三】</w:t>
            </w:r>
          </w:p>
          <w:p>
            <w:pPr>
              <w:spacing w:line="360" w:lineRule="auto"/>
            </w:pPr>
            <w:r>
              <w:t>下午：【选修方向课四】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Day 11</w:t>
            </w:r>
          </w:p>
        </w:tc>
        <w:tc>
          <w:tcPr>
            <w:tcW w:w="5822" w:type="dxa"/>
          </w:tcPr>
          <w:p>
            <w:pPr>
              <w:spacing w:line="360" w:lineRule="auto"/>
            </w:pPr>
            <w:r>
              <w:t>上午：专题研讨与文献研读</w:t>
            </w:r>
          </w:p>
          <w:p>
            <w:pPr>
              <w:spacing w:line="360" w:lineRule="auto"/>
            </w:pPr>
            <w:r>
              <w:t>下午：独立研究，准备结项汇报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Day 12</w:t>
            </w:r>
          </w:p>
        </w:tc>
        <w:tc>
          <w:tcPr>
            <w:tcW w:w="5822" w:type="dxa"/>
          </w:tcPr>
          <w:p>
            <w:pPr>
              <w:spacing w:line="360" w:lineRule="auto"/>
            </w:pPr>
            <w:r>
              <w:t>上午：独立开展研究</w:t>
            </w:r>
          </w:p>
          <w:p>
            <w:pPr>
              <w:spacing w:line="360" w:lineRule="auto"/>
            </w:pPr>
            <w:r>
              <w:t>下午：【结项课题】导师 Supervision（2 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Day 13</w:t>
            </w:r>
          </w:p>
        </w:tc>
        <w:tc>
          <w:tcPr>
            <w:tcW w:w="5822" w:type="dxa"/>
          </w:tcPr>
          <w:p>
            <w:pPr>
              <w:spacing w:line="360" w:lineRule="auto"/>
            </w:pPr>
            <w:r>
              <w:t>上午：【结项课题】汇报与评估（2 小时）</w:t>
            </w:r>
          </w:p>
          <w:p>
            <w:pPr>
              <w:spacing w:line="360" w:lineRule="auto"/>
            </w:pPr>
            <w:r>
              <w:t>下午：结业；晚间：学院高桌晚宴体验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7" w:type="dxa"/>
          </w:tcPr>
          <w:p>
            <w:pPr>
              <w:spacing w:line="360" w:lineRule="auto"/>
            </w:pPr>
            <w:r>
              <w:t>Day 14</w:t>
            </w:r>
          </w:p>
        </w:tc>
        <w:tc>
          <w:tcPr>
            <w:tcW w:w="5822" w:type="dxa"/>
          </w:tcPr>
          <w:p>
            <w:pPr>
              <w:spacing w:line="360" w:lineRule="auto"/>
            </w:pPr>
            <w:r>
              <w:t>全天：学生启程回国</w:t>
            </w:r>
          </w:p>
        </w:tc>
      </w:tr>
    </w:tbl>
    <w:p>
      <w:pPr>
        <w:pStyle w:val="26"/>
        <w:rPr>
          <w:sz w:val="18"/>
          <w:szCs w:val="18"/>
        </w:rPr>
      </w:pPr>
      <w:r>
        <w:rPr>
          <w:sz w:val="18"/>
          <w:szCs w:val="18"/>
        </w:rPr>
        <w:t xml:space="preserve">  (注：以上行程仅为参考，实际行程以最终实际安排为准)</w:t>
      </w:r>
    </w:p>
    <w:p>
      <w:pPr>
        <w:pStyle w:val="26"/>
        <w:rPr>
          <w:sz w:val="18"/>
          <w:szCs w:val="18"/>
        </w:rPr>
      </w:pPr>
    </w:p>
    <w:p>
      <w:pPr>
        <w:spacing w:line="360" w:lineRule="auto"/>
        <w:rPr>
          <w:rFonts w:hint="eastAsia" w:ascii="等线" w:hAnsi="等线" w:eastAsia="等线" w:cs="等线"/>
          <w:szCs w:val="21"/>
          <w:lang w:eastAsia="zh-CN"/>
        </w:rPr>
      </w:pPr>
      <w:r>
        <w:rPr>
          <w:rFonts w:hint="eastAsia" w:ascii="等线" w:hAnsi="等线" w:eastAsia="等线" w:cs="等线"/>
          <w:szCs w:val="21"/>
          <w:lang w:eastAsia="zh-CN"/>
        </w:rPr>
        <w:t>【</w:t>
      </w:r>
      <w:r>
        <w:rPr>
          <w:rFonts w:hint="eastAsia" w:ascii="等线" w:hAnsi="等线" w:eastAsia="等线" w:cs="等线"/>
          <w:szCs w:val="21"/>
        </w:rPr>
        <w:t>文化活动</w:t>
      </w:r>
      <w:r>
        <w:rPr>
          <w:rFonts w:hint="eastAsia" w:ascii="等线" w:hAnsi="等线" w:eastAsia="等线" w:cs="等线"/>
          <w:szCs w:val="21"/>
          <w:lang w:eastAsia="zh-CN"/>
        </w:rPr>
        <w:t>】</w:t>
      </w:r>
    </w:p>
    <w:p>
      <w:pPr>
        <w:spacing w:line="360" w:lineRule="auto"/>
        <w:ind w:firstLine="432"/>
        <w:jc w:val="left"/>
        <w:rPr>
          <w:rFonts w:ascii="Calibri" w:hAnsi="Calibri" w:eastAsia="等线" w:cs="Calibri"/>
        </w:rPr>
      </w:pPr>
      <w:r>
        <w:t>除核心课程之外，项目学生还可参加丰富多彩的文化活动，充分体验剑桥独特魅力，如参观游览剑桥市中心，参观剑桥大学国王学院，泛舟举世闻名的康河，在格顿学院历史悠久的宴会厅参加高桌晚宴，参观剑桥菲茨威廉艺术与考古博物馆等活动。</w:t>
      </w:r>
    </w:p>
    <w:p>
      <w:pPr>
        <w:spacing w:line="360" w:lineRule="auto"/>
        <w:ind w:firstLine="432"/>
        <w:jc w:val="left"/>
        <w:rPr>
          <w:rFonts w:ascii="Calibri" w:hAnsi="Calibri" w:eastAsia="等线" w:cs="Calibri"/>
        </w:rPr>
      </w:pPr>
      <w:r>
        <w:t>项目会专门安排去伦敦的一日游，学生可参观大英博物馆，打卡威斯敏斯特宫，大本钟，国会大厦，白金汉宫，唐宁街等经典景点外观。</w:t>
      </w:r>
    </w:p>
    <w:p>
      <w:pPr>
        <w:spacing w:line="360" w:lineRule="auto"/>
        <w:ind w:firstLine="432"/>
        <w:jc w:val="left"/>
        <w:rPr>
          <w:rFonts w:ascii="Calibri" w:hAnsi="Calibri" w:eastAsia="等线" w:cs="Calibri"/>
        </w:rPr>
      </w:pPr>
      <w:r>
        <w:t>此外，学生还将参加牛津一日游，参观殉道者纪念碑、贝利奥尔/埃克塞特/基督等牛津大学学院、全英第二大图书馆牛津大学博德利图书馆、谢尔登剧院、阿什莫林博物馆等牛津地标景点或建筑，体验这所与剑桥齐名的大学城的独特风采。</w:t>
      </w:r>
    </w:p>
    <w:p>
      <w:pPr>
        <w:spacing w:line="360" w:lineRule="auto"/>
        <w:rPr>
          <w:rFonts w:hint="eastAsia" w:ascii="等线" w:hAnsi="等线" w:eastAsia="等线" w:cs="等线"/>
          <w:szCs w:val="21"/>
        </w:rPr>
      </w:pPr>
    </w:p>
    <w:p>
      <w:pPr>
        <w:spacing w:line="360" w:lineRule="auto"/>
        <w:rPr>
          <w:rFonts w:ascii="等线" w:hAnsi="等线" w:eastAsia="等线" w:cs="等线"/>
          <w:szCs w:val="21"/>
        </w:rPr>
      </w:pPr>
      <w:r>
        <w:rPr>
          <w:rFonts w:hint="eastAsia" w:ascii="等线" w:hAnsi="等线" w:eastAsia="等线" w:cs="等线"/>
          <w:szCs w:val="21"/>
        </w:rPr>
        <w:t>【参访资源】</w:t>
      </w:r>
    </w:p>
    <w:p>
      <w:pPr>
        <w:spacing w:line="360" w:lineRule="auto"/>
        <w:ind w:firstLine="432"/>
        <w:jc w:val="left"/>
      </w:pPr>
      <w:r>
        <w:t>各专题方向按课程内容安排 2–</w:t>
      </w:r>
      <w:r>
        <w:rPr>
          <w:rFonts w:hint="eastAsia"/>
          <w:lang w:val="en-US" w:eastAsia="zh-CN"/>
        </w:rPr>
        <w:t>3</w:t>
      </w:r>
      <w:r>
        <w:t>次实地参访，可选资源包括：剑桥大学高性能计算中心（HPC / Dawn 超算）、Maxwell 中心、Melville 高分子合成实验室、器件材料组（DMG）、Wellcome Sanger 研究所、Zlatic 实验室，以及授课教授本人的研究实验室。（具体参访站点以各专题当期安排为准）</w:t>
      </w:r>
    </w:p>
    <w:p>
      <w:pPr>
        <w:spacing w:line="360" w:lineRule="auto"/>
        <w:ind w:firstLine="432"/>
        <w:jc w:val="left"/>
      </w:pPr>
    </w:p>
    <w:p>
      <w:pPr>
        <w:spacing w:line="360" w:lineRule="auto"/>
        <w:rPr>
          <w:rFonts w:ascii="等线" w:hAnsi="等线" w:eastAsia="等线" w:cs="等线"/>
          <w:szCs w:val="21"/>
        </w:rPr>
      </w:pPr>
      <w:r>
        <w:rPr>
          <w:rFonts w:hint="eastAsia" w:ascii="等线" w:hAnsi="等线" w:eastAsia="等线" w:cs="等线"/>
          <w:szCs w:val="21"/>
        </w:rPr>
        <w:t>【师资介绍】（师资仅供参考，具体授课安排以实际为准）</w:t>
      </w:r>
    </w:p>
    <w:p>
      <w:pPr>
        <w:jc w:val="left"/>
      </w:pPr>
      <w:r>
        <w:drawing>
          <wp:inline distT="0" distB="0" distL="0" distR="0">
            <wp:extent cx="1151890" cy="1443355"/>
            <wp:effectExtent l="0" t="0" r="0" b="0"/>
            <wp:docPr id="682311523" name="Picture 68231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11523" name="Picture 682311523"/>
                    <pic:cNvPicPr>
                      <a:picLocks noChangeAspect="1"/>
                    </pic:cNvPicPr>
                  </pic:nvPicPr>
                  <pic:blipFill>
                    <a:blip r:embed="rId6"/>
                    <a:stretch>
                      <a:fillRect/>
                    </a:stretch>
                  </pic:blipFill>
                  <pic:spPr>
                    <a:xfrm>
                      <a:off x="0" y="0"/>
                      <a:ext cx="1152000" cy="1443840"/>
                    </a:xfrm>
                    <a:prstGeom prst="rect">
                      <a:avLst/>
                    </a:prstGeom>
                  </pic:spPr>
                </pic:pic>
              </a:graphicData>
            </a:graphic>
          </wp:inline>
        </w:drawing>
      </w:r>
    </w:p>
    <w:p>
      <w:pPr>
        <w:numPr>
          <w:ilvl w:val="0"/>
          <w:numId w:val="3"/>
        </w:numPr>
        <w:spacing w:line="360" w:lineRule="auto"/>
        <w:ind w:left="210" w:leftChars="100"/>
        <w:rPr>
          <w:rFonts w:ascii="等线" w:hAnsi="等线" w:eastAsia="等线" w:cs="等线"/>
          <w:kern w:val="0"/>
          <w:szCs w:val="21"/>
        </w:rPr>
      </w:pPr>
      <w:r>
        <w:rPr>
          <w:kern w:val="0"/>
          <w:szCs w:val="21"/>
        </w:rPr>
        <w:t>Seán Kavanagh 助理教授</w:t>
      </w:r>
    </w:p>
    <w:p>
      <w:pPr>
        <w:numPr>
          <w:ilvl w:val="0"/>
          <w:numId w:val="3"/>
        </w:numPr>
        <w:spacing w:line="360" w:lineRule="auto"/>
        <w:ind w:left="210" w:leftChars="100"/>
        <w:rPr>
          <w:rFonts w:ascii="等线" w:hAnsi="等线" w:eastAsia="等线" w:cs="等线"/>
          <w:kern w:val="0"/>
          <w:szCs w:val="21"/>
        </w:rPr>
      </w:pPr>
      <w:r>
        <w:rPr>
          <w:kern w:val="0"/>
          <w:szCs w:val="21"/>
        </w:rPr>
        <w:t>剑桥大学尤瑟夫·哈米德化学系助理教授</w:t>
      </w:r>
    </w:p>
    <w:p>
      <w:pPr>
        <w:numPr>
          <w:ilvl w:val="0"/>
          <w:numId w:val="3"/>
        </w:numPr>
        <w:spacing w:line="360" w:lineRule="auto"/>
        <w:ind w:left="210" w:leftChars="100"/>
        <w:rPr>
          <w:rFonts w:ascii="等线" w:hAnsi="等线" w:eastAsia="等线" w:cs="等线"/>
          <w:kern w:val="0"/>
          <w:szCs w:val="21"/>
        </w:rPr>
      </w:pPr>
      <w:r>
        <w:rPr>
          <w:kern w:val="0"/>
          <w:szCs w:val="21"/>
        </w:rPr>
        <w:t>研究方向：能源材料模拟、计算材料设计、量子化学、固态物理、机器学习</w:t>
      </w:r>
    </w:p>
    <w:p>
      <w:pPr>
        <w:numPr>
          <w:ilvl w:val="0"/>
          <w:numId w:val="3"/>
        </w:numPr>
        <w:spacing w:line="360" w:lineRule="auto"/>
        <w:ind w:left="210" w:leftChars="100"/>
        <w:rPr>
          <w:rFonts w:ascii="等线" w:hAnsi="等线" w:eastAsia="等线" w:cs="等线"/>
          <w:kern w:val="0"/>
          <w:szCs w:val="21"/>
        </w:rPr>
      </w:pPr>
      <w:r>
        <w:rPr>
          <w:kern w:val="0"/>
          <w:szCs w:val="21"/>
        </w:rPr>
        <w:t>领导模拟先进材料（SAM）实验室，以计算方法设计下一代能源材料；开发的开源计算工具被全球数千名研究人员使用。</w:t>
      </w:r>
    </w:p>
    <w:p>
      <w:pPr>
        <w:jc w:val="left"/>
      </w:pPr>
      <w:r>
        <w:drawing>
          <wp:inline distT="0" distB="0" distL="0" distR="0">
            <wp:extent cx="1151890" cy="1439545"/>
            <wp:effectExtent l="0" t="0" r="0" b="0"/>
            <wp:docPr id="682311524" name="Picture 68231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11524" name="Picture 682311524"/>
                    <pic:cNvPicPr>
                      <a:picLocks noChangeAspect="1"/>
                    </pic:cNvPicPr>
                  </pic:nvPicPr>
                  <pic:blipFill>
                    <a:blip r:embed="rId7"/>
                    <a:stretch>
                      <a:fillRect/>
                    </a:stretch>
                  </pic:blipFill>
                  <pic:spPr>
                    <a:xfrm>
                      <a:off x="0" y="0"/>
                      <a:ext cx="1152000" cy="1440000"/>
                    </a:xfrm>
                    <a:prstGeom prst="rect">
                      <a:avLst/>
                    </a:prstGeom>
                  </pic:spPr>
                </pic:pic>
              </a:graphicData>
            </a:graphic>
          </wp:inline>
        </w:drawing>
      </w:r>
    </w:p>
    <w:p>
      <w:pPr>
        <w:numPr>
          <w:ilvl w:val="0"/>
          <w:numId w:val="3"/>
        </w:numPr>
        <w:spacing w:line="360" w:lineRule="auto"/>
        <w:ind w:left="210" w:leftChars="100"/>
        <w:rPr>
          <w:rFonts w:ascii="等线" w:hAnsi="等线" w:eastAsia="等线" w:cs="等线"/>
          <w:kern w:val="0"/>
          <w:szCs w:val="21"/>
        </w:rPr>
      </w:pPr>
      <w:r>
        <w:rPr>
          <w:kern w:val="0"/>
          <w:szCs w:val="21"/>
        </w:rPr>
        <w:t>Bartomeu Monserrat 教授</w:t>
      </w:r>
    </w:p>
    <w:p>
      <w:pPr>
        <w:numPr>
          <w:ilvl w:val="0"/>
          <w:numId w:val="3"/>
        </w:numPr>
        <w:spacing w:line="360" w:lineRule="auto"/>
        <w:ind w:left="210" w:leftChars="100"/>
        <w:rPr>
          <w:rFonts w:ascii="等线" w:hAnsi="等线" w:eastAsia="等线" w:cs="等线"/>
          <w:kern w:val="0"/>
          <w:szCs w:val="21"/>
        </w:rPr>
      </w:pPr>
      <w:r>
        <w:rPr>
          <w:kern w:val="0"/>
          <w:szCs w:val="21"/>
        </w:rPr>
        <w:t>剑桥大学材料科学与冶金系教授</w:t>
      </w:r>
    </w:p>
    <w:p>
      <w:pPr>
        <w:numPr>
          <w:ilvl w:val="0"/>
          <w:numId w:val="3"/>
        </w:numPr>
        <w:spacing w:line="360" w:lineRule="auto"/>
        <w:ind w:left="210" w:leftChars="100"/>
        <w:rPr>
          <w:rFonts w:ascii="等线" w:hAnsi="等线" w:eastAsia="等线" w:cs="等线"/>
          <w:kern w:val="0"/>
          <w:szCs w:val="21"/>
        </w:rPr>
      </w:pPr>
      <w:r>
        <w:rPr>
          <w:kern w:val="0"/>
          <w:szCs w:val="21"/>
        </w:rPr>
        <w:t>研究方向：光伏材料、拓扑材料、高压物理、第一性原理计算、超导体、半导体</w:t>
      </w:r>
    </w:p>
    <w:p>
      <w:pPr>
        <w:numPr>
          <w:ilvl w:val="0"/>
          <w:numId w:val="3"/>
        </w:numPr>
        <w:spacing w:line="360" w:lineRule="auto"/>
        <w:ind w:left="210" w:leftChars="100"/>
        <w:rPr>
          <w:rFonts w:ascii="等线" w:hAnsi="等线" w:eastAsia="等线" w:cs="等线"/>
          <w:kern w:val="0"/>
          <w:szCs w:val="21"/>
        </w:rPr>
      </w:pPr>
      <w:r>
        <w:rPr>
          <w:kern w:val="0"/>
          <w:szCs w:val="21"/>
        </w:rPr>
        <w:t>研究混合钙钛矿太阳能电池的输运、复合与光学性质；阐释了铋非公度相中非常规超导性的起源。</w:t>
      </w:r>
    </w:p>
    <w:p>
      <w:pPr>
        <w:jc w:val="left"/>
      </w:pPr>
      <w:r>
        <w:drawing>
          <wp:inline distT="0" distB="0" distL="0" distR="0">
            <wp:extent cx="1151890" cy="1439545"/>
            <wp:effectExtent l="0" t="0" r="0" b="0"/>
            <wp:docPr id="682311525" name="Picture 68231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11525" name="Picture 682311525"/>
                    <pic:cNvPicPr>
                      <a:picLocks noChangeAspect="1"/>
                    </pic:cNvPicPr>
                  </pic:nvPicPr>
                  <pic:blipFill>
                    <a:blip r:embed="rId8"/>
                    <a:stretch>
                      <a:fillRect/>
                    </a:stretch>
                  </pic:blipFill>
                  <pic:spPr>
                    <a:xfrm>
                      <a:off x="0" y="0"/>
                      <a:ext cx="1152000" cy="1440000"/>
                    </a:xfrm>
                    <a:prstGeom prst="rect">
                      <a:avLst/>
                    </a:prstGeom>
                  </pic:spPr>
                </pic:pic>
              </a:graphicData>
            </a:graphic>
          </wp:inline>
        </w:drawing>
      </w:r>
    </w:p>
    <w:p>
      <w:pPr>
        <w:numPr>
          <w:ilvl w:val="0"/>
          <w:numId w:val="3"/>
        </w:numPr>
        <w:spacing w:line="360" w:lineRule="auto"/>
        <w:ind w:left="210" w:leftChars="100"/>
        <w:rPr>
          <w:rFonts w:ascii="等线" w:hAnsi="等线" w:eastAsia="等线" w:cs="等线"/>
          <w:kern w:val="0"/>
          <w:szCs w:val="21"/>
        </w:rPr>
      </w:pPr>
      <w:r>
        <w:rPr>
          <w:kern w:val="0"/>
          <w:szCs w:val="21"/>
        </w:rPr>
        <w:t>Judith Driscoll 教授</w:t>
      </w:r>
    </w:p>
    <w:p>
      <w:pPr>
        <w:numPr>
          <w:ilvl w:val="0"/>
          <w:numId w:val="3"/>
        </w:numPr>
        <w:spacing w:line="360" w:lineRule="auto"/>
        <w:ind w:left="210" w:leftChars="100"/>
        <w:rPr>
          <w:rFonts w:ascii="等线" w:hAnsi="等线" w:eastAsia="等线" w:cs="等线"/>
          <w:kern w:val="0"/>
          <w:szCs w:val="21"/>
        </w:rPr>
      </w:pPr>
      <w:r>
        <w:rPr>
          <w:kern w:val="0"/>
          <w:szCs w:val="21"/>
        </w:rPr>
        <w:t>剑桥大学材料科学与冶金系教授；皇家学会院士；皇家工程院院士；材料研究学会会士；美国物理学会会士</w:t>
      </w:r>
    </w:p>
    <w:p>
      <w:pPr>
        <w:numPr>
          <w:ilvl w:val="0"/>
          <w:numId w:val="3"/>
        </w:numPr>
        <w:spacing w:line="360" w:lineRule="auto"/>
        <w:ind w:left="210" w:leftChars="100"/>
        <w:rPr>
          <w:rFonts w:ascii="等线" w:hAnsi="等线" w:eastAsia="等线" w:cs="等线"/>
          <w:kern w:val="0"/>
          <w:szCs w:val="21"/>
        </w:rPr>
      </w:pPr>
      <w:r>
        <w:rPr>
          <w:kern w:val="0"/>
          <w:szCs w:val="21"/>
        </w:rPr>
        <w:t>研究方向：功能氧化物薄膜、纳米尺度设计与调控、能源高效电子应用、复杂氧化物缺陷与界面效应</w:t>
      </w:r>
    </w:p>
    <w:p>
      <w:pPr>
        <w:numPr>
          <w:ilvl w:val="0"/>
          <w:numId w:val="3"/>
        </w:numPr>
        <w:spacing w:line="360" w:lineRule="auto"/>
        <w:ind w:left="210" w:leftChars="100"/>
        <w:rPr>
          <w:rFonts w:ascii="等线" w:hAnsi="等线" w:eastAsia="等线" w:cs="等线"/>
          <w:kern w:val="0"/>
          <w:szCs w:val="21"/>
        </w:rPr>
      </w:pPr>
      <w:r>
        <w:rPr>
          <w:kern w:val="0"/>
          <w:szCs w:val="21"/>
        </w:rPr>
        <w:t>创办 APL Materials 期刊并担任主编十年；发起并组织剑桥大学首届女性电子材料会议 Femincam。</w:t>
      </w:r>
    </w:p>
    <w:p>
      <w:pPr>
        <w:jc w:val="left"/>
      </w:pPr>
      <w:r>
        <w:drawing>
          <wp:inline distT="0" distB="0" distL="0" distR="0">
            <wp:extent cx="1151890" cy="1443355"/>
            <wp:effectExtent l="0" t="0" r="0" b="0"/>
            <wp:docPr id="682311526" name="Picture 68231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11526" name="Picture 682311526"/>
                    <pic:cNvPicPr>
                      <a:picLocks noChangeAspect="1"/>
                    </pic:cNvPicPr>
                  </pic:nvPicPr>
                  <pic:blipFill>
                    <a:blip r:embed="rId9"/>
                    <a:stretch>
                      <a:fillRect/>
                    </a:stretch>
                  </pic:blipFill>
                  <pic:spPr>
                    <a:xfrm>
                      <a:off x="0" y="0"/>
                      <a:ext cx="1152000" cy="1443840"/>
                    </a:xfrm>
                    <a:prstGeom prst="rect">
                      <a:avLst/>
                    </a:prstGeom>
                  </pic:spPr>
                </pic:pic>
              </a:graphicData>
            </a:graphic>
          </wp:inline>
        </w:drawing>
      </w:r>
    </w:p>
    <w:p>
      <w:pPr>
        <w:numPr>
          <w:ilvl w:val="0"/>
          <w:numId w:val="3"/>
        </w:numPr>
        <w:spacing w:line="360" w:lineRule="auto"/>
        <w:ind w:left="210" w:leftChars="100"/>
        <w:rPr>
          <w:rFonts w:ascii="等线" w:hAnsi="等线" w:eastAsia="等线" w:cs="等线"/>
          <w:kern w:val="0"/>
          <w:szCs w:val="21"/>
        </w:rPr>
      </w:pPr>
      <w:r>
        <w:rPr>
          <w:kern w:val="0"/>
          <w:szCs w:val="21"/>
        </w:rPr>
        <w:t>Oren A. Scherman 教授</w:t>
      </w:r>
    </w:p>
    <w:p>
      <w:pPr>
        <w:numPr>
          <w:ilvl w:val="0"/>
          <w:numId w:val="3"/>
        </w:numPr>
        <w:spacing w:line="360" w:lineRule="auto"/>
        <w:ind w:left="210" w:leftChars="100"/>
        <w:rPr>
          <w:rFonts w:ascii="等线" w:hAnsi="等线" w:eastAsia="等线" w:cs="等线"/>
          <w:kern w:val="0"/>
          <w:szCs w:val="21"/>
        </w:rPr>
      </w:pPr>
      <w:r>
        <w:rPr>
          <w:kern w:val="0"/>
          <w:szCs w:val="21"/>
        </w:rPr>
        <w:t>剑桥大学尤瑟夫·哈米德化学系超分子与高分子化学教授；Melville 高分子合成实验室主任</w:t>
      </w:r>
    </w:p>
    <w:p>
      <w:pPr>
        <w:numPr>
          <w:ilvl w:val="0"/>
          <w:numId w:val="3"/>
        </w:numPr>
        <w:spacing w:line="360" w:lineRule="auto"/>
        <w:ind w:left="210" w:leftChars="100"/>
        <w:rPr>
          <w:rFonts w:ascii="等线" w:hAnsi="等线" w:eastAsia="等线" w:cs="等线"/>
          <w:kern w:val="0"/>
          <w:szCs w:val="21"/>
        </w:rPr>
      </w:pPr>
      <w:r>
        <w:rPr>
          <w:kern w:val="0"/>
          <w:szCs w:val="21"/>
        </w:rPr>
        <w:t>研究方向：超分子化学与主客体组装、超分子自组装材料、发光与荧光材料、分子传感器与离子检测</w:t>
      </w:r>
    </w:p>
    <w:p>
      <w:pPr>
        <w:numPr>
          <w:ilvl w:val="0"/>
          <w:numId w:val="3"/>
        </w:numPr>
        <w:spacing w:line="360" w:lineRule="auto"/>
        <w:ind w:left="210" w:leftChars="100"/>
        <w:rPr>
          <w:rFonts w:ascii="等线" w:hAnsi="等线" w:eastAsia="等线" w:cs="等线"/>
          <w:kern w:val="0"/>
          <w:szCs w:val="21"/>
        </w:rPr>
      </w:pPr>
      <w:r>
        <w:rPr>
          <w:kern w:val="0"/>
          <w:szCs w:val="21"/>
        </w:rPr>
        <w:t>长期领导 Melville 高分子合成实验室，研究方向覆盖葫芦脲主客体化学到超分子水凝胶的生物医学转化。</w:t>
      </w:r>
    </w:p>
    <w:p>
      <w:pPr>
        <w:jc w:val="left"/>
      </w:pPr>
      <w:r>
        <w:drawing>
          <wp:inline distT="0" distB="0" distL="0" distR="0">
            <wp:extent cx="1151890" cy="1439545"/>
            <wp:effectExtent l="0" t="0" r="0" b="0"/>
            <wp:docPr id="682311527" name="Picture 68231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11527" name="Picture 682311527"/>
                    <pic:cNvPicPr>
                      <a:picLocks noChangeAspect="1"/>
                    </pic:cNvPicPr>
                  </pic:nvPicPr>
                  <pic:blipFill>
                    <a:blip r:embed="rId10"/>
                    <a:stretch>
                      <a:fillRect/>
                    </a:stretch>
                  </pic:blipFill>
                  <pic:spPr>
                    <a:xfrm>
                      <a:off x="0" y="0"/>
                      <a:ext cx="1152000" cy="1440000"/>
                    </a:xfrm>
                    <a:prstGeom prst="rect">
                      <a:avLst/>
                    </a:prstGeom>
                  </pic:spPr>
                </pic:pic>
              </a:graphicData>
            </a:graphic>
          </wp:inline>
        </w:drawing>
      </w:r>
    </w:p>
    <w:p>
      <w:pPr>
        <w:numPr>
          <w:ilvl w:val="0"/>
          <w:numId w:val="3"/>
        </w:numPr>
        <w:spacing w:line="360" w:lineRule="auto"/>
        <w:ind w:left="210" w:leftChars="100"/>
        <w:rPr>
          <w:rFonts w:ascii="等线" w:hAnsi="等线" w:eastAsia="等线" w:cs="等线"/>
          <w:kern w:val="0"/>
          <w:szCs w:val="21"/>
        </w:rPr>
      </w:pPr>
      <w:r>
        <w:rPr>
          <w:kern w:val="0"/>
          <w:szCs w:val="21"/>
        </w:rPr>
        <w:t>Abin Varghese 助理研究教授</w:t>
      </w:r>
    </w:p>
    <w:p>
      <w:pPr>
        <w:numPr>
          <w:ilvl w:val="0"/>
          <w:numId w:val="3"/>
        </w:numPr>
        <w:spacing w:line="360" w:lineRule="auto"/>
        <w:ind w:left="210" w:leftChars="100"/>
        <w:rPr>
          <w:rFonts w:ascii="等线" w:hAnsi="等线" w:eastAsia="等线" w:cs="等线"/>
          <w:kern w:val="0"/>
          <w:szCs w:val="21"/>
        </w:rPr>
      </w:pPr>
      <w:r>
        <w:rPr>
          <w:kern w:val="0"/>
          <w:szCs w:val="21"/>
        </w:rPr>
        <w:t>剑桥大学材料科学与冶金系助理研究教授（Driscoll 研究组）</w:t>
      </w:r>
    </w:p>
    <w:p>
      <w:pPr>
        <w:numPr>
          <w:ilvl w:val="0"/>
          <w:numId w:val="3"/>
        </w:numPr>
        <w:spacing w:line="360" w:lineRule="auto"/>
        <w:ind w:left="210" w:leftChars="100"/>
        <w:rPr>
          <w:rFonts w:ascii="等线" w:hAnsi="等线" w:eastAsia="等线" w:cs="等线"/>
          <w:kern w:val="0"/>
          <w:szCs w:val="21"/>
        </w:rPr>
      </w:pPr>
      <w:r>
        <w:rPr>
          <w:kern w:val="0"/>
          <w:szCs w:val="21"/>
        </w:rPr>
        <w:t>研究方向：存内计算与神经形态计算、电阻式开关器件、二维材料与氧化物异质结、光电探测器与光伏器件</w:t>
      </w:r>
    </w:p>
    <w:p>
      <w:pPr>
        <w:numPr>
          <w:ilvl w:val="0"/>
          <w:numId w:val="3"/>
        </w:numPr>
        <w:spacing w:line="360" w:lineRule="auto"/>
        <w:ind w:left="210" w:leftChars="100"/>
        <w:rPr>
          <w:rFonts w:ascii="等线" w:hAnsi="等线" w:eastAsia="等线" w:cs="等线"/>
          <w:kern w:val="0"/>
          <w:szCs w:val="21"/>
        </w:rPr>
      </w:pPr>
      <w:r>
        <w:rPr>
          <w:kern w:val="0"/>
          <w:szCs w:val="21"/>
        </w:rPr>
        <w:t>发表 25 篇同行评审论文；开发基于 WO₃ 的鲁棒存储器件，通过可控氧空位电极储层实现。</w:t>
      </w:r>
    </w:p>
    <w:p>
      <w:pPr>
        <w:jc w:val="left"/>
      </w:pPr>
      <w:r>
        <w:drawing>
          <wp:inline distT="0" distB="0" distL="0" distR="0">
            <wp:extent cx="1151890" cy="1443355"/>
            <wp:effectExtent l="0" t="0" r="0" b="0"/>
            <wp:docPr id="682311528" name="Picture 68231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11528" name="Picture 682311528"/>
                    <pic:cNvPicPr>
                      <a:picLocks noChangeAspect="1"/>
                    </pic:cNvPicPr>
                  </pic:nvPicPr>
                  <pic:blipFill>
                    <a:blip r:embed="rId11"/>
                    <a:stretch>
                      <a:fillRect/>
                    </a:stretch>
                  </pic:blipFill>
                  <pic:spPr>
                    <a:xfrm>
                      <a:off x="0" y="0"/>
                      <a:ext cx="1152000" cy="1443840"/>
                    </a:xfrm>
                    <a:prstGeom prst="rect">
                      <a:avLst/>
                    </a:prstGeom>
                  </pic:spPr>
                </pic:pic>
              </a:graphicData>
            </a:graphic>
          </wp:inline>
        </w:drawing>
      </w:r>
    </w:p>
    <w:p>
      <w:pPr>
        <w:numPr>
          <w:ilvl w:val="0"/>
          <w:numId w:val="3"/>
        </w:numPr>
        <w:spacing w:line="360" w:lineRule="auto"/>
        <w:ind w:left="210" w:leftChars="100"/>
        <w:rPr>
          <w:rFonts w:ascii="等线" w:hAnsi="等线" w:eastAsia="等线" w:cs="等线"/>
          <w:kern w:val="0"/>
          <w:szCs w:val="21"/>
        </w:rPr>
      </w:pPr>
      <w:r>
        <w:rPr>
          <w:kern w:val="0"/>
          <w:szCs w:val="21"/>
        </w:rPr>
        <w:t>Stephen John Eglen 教授</w:t>
      </w:r>
    </w:p>
    <w:p>
      <w:pPr>
        <w:numPr>
          <w:ilvl w:val="0"/>
          <w:numId w:val="3"/>
        </w:numPr>
        <w:spacing w:line="360" w:lineRule="auto"/>
        <w:ind w:left="210" w:leftChars="100"/>
        <w:rPr>
          <w:rFonts w:ascii="等线" w:hAnsi="等线" w:eastAsia="等线" w:cs="等线"/>
          <w:kern w:val="0"/>
          <w:szCs w:val="21"/>
        </w:rPr>
      </w:pPr>
      <w:r>
        <w:rPr>
          <w:kern w:val="0"/>
          <w:szCs w:val="21"/>
        </w:rPr>
        <w:t>剑桥大学应用数学与理论物理系（DAMTP）教授</w:t>
      </w:r>
    </w:p>
    <w:p>
      <w:pPr>
        <w:numPr>
          <w:ilvl w:val="0"/>
          <w:numId w:val="3"/>
        </w:numPr>
        <w:spacing w:line="360" w:lineRule="auto"/>
        <w:ind w:left="210" w:leftChars="100"/>
        <w:rPr>
          <w:rFonts w:ascii="等线" w:hAnsi="等线" w:eastAsia="等线" w:cs="等线"/>
          <w:kern w:val="0"/>
          <w:szCs w:val="21"/>
        </w:rPr>
      </w:pPr>
      <w:r>
        <w:rPr>
          <w:kern w:val="0"/>
          <w:szCs w:val="21"/>
        </w:rPr>
        <w:t>研究方向：计算生物学、计算神经科学、神经系统发育、空间统计与可复现研究计算</w:t>
      </w:r>
    </w:p>
    <w:p>
      <w:pPr>
        <w:numPr>
          <w:ilvl w:val="0"/>
          <w:numId w:val="3"/>
        </w:numPr>
        <w:spacing w:line="360" w:lineRule="auto"/>
        <w:ind w:left="210" w:leftChars="100"/>
        <w:rPr>
          <w:rFonts w:ascii="等线" w:hAnsi="等线" w:eastAsia="等线" w:cs="等线"/>
          <w:kern w:val="0"/>
          <w:szCs w:val="21"/>
        </w:rPr>
      </w:pPr>
      <w:r>
        <w:rPr>
          <w:kern w:val="0"/>
          <w:szCs w:val="21"/>
        </w:rPr>
        <w:t>以计算方法研究神经系统发育，聚焦视网膜及视觉通路神经元的结构与功能发育，以及神经元如何连接成可工作的环路。</w:t>
      </w:r>
    </w:p>
    <w:p>
      <w:pPr>
        <w:jc w:val="left"/>
      </w:pPr>
      <w:r>
        <w:drawing>
          <wp:inline distT="0" distB="0" distL="0" distR="0">
            <wp:extent cx="1151890" cy="1435735"/>
            <wp:effectExtent l="0" t="0" r="0" b="0"/>
            <wp:docPr id="682311529" name="Picture 68231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11529" name="Picture 682311529"/>
                    <pic:cNvPicPr>
                      <a:picLocks noChangeAspect="1"/>
                    </pic:cNvPicPr>
                  </pic:nvPicPr>
                  <pic:blipFill>
                    <a:blip r:embed="rId12"/>
                    <a:stretch>
                      <a:fillRect/>
                    </a:stretch>
                  </pic:blipFill>
                  <pic:spPr>
                    <a:xfrm>
                      <a:off x="0" y="0"/>
                      <a:ext cx="1152000" cy="1436108"/>
                    </a:xfrm>
                    <a:prstGeom prst="rect">
                      <a:avLst/>
                    </a:prstGeom>
                  </pic:spPr>
                </pic:pic>
              </a:graphicData>
            </a:graphic>
          </wp:inline>
        </w:drawing>
      </w:r>
    </w:p>
    <w:p>
      <w:pPr>
        <w:numPr>
          <w:ilvl w:val="0"/>
          <w:numId w:val="3"/>
        </w:numPr>
        <w:spacing w:line="360" w:lineRule="auto"/>
        <w:ind w:left="210" w:leftChars="100"/>
        <w:rPr>
          <w:rFonts w:ascii="等线" w:hAnsi="等线" w:eastAsia="等线" w:cs="等线"/>
          <w:kern w:val="0"/>
          <w:szCs w:val="21"/>
        </w:rPr>
      </w:pPr>
      <w:r>
        <w:rPr>
          <w:kern w:val="0"/>
          <w:szCs w:val="21"/>
        </w:rPr>
        <w:t>Ying Sims 博士</w:t>
      </w:r>
    </w:p>
    <w:p>
      <w:pPr>
        <w:numPr>
          <w:ilvl w:val="0"/>
          <w:numId w:val="3"/>
        </w:numPr>
        <w:spacing w:line="360" w:lineRule="auto"/>
        <w:ind w:left="210" w:leftChars="100"/>
        <w:rPr>
          <w:rFonts w:ascii="等线" w:hAnsi="等线" w:eastAsia="等线" w:cs="等线"/>
          <w:kern w:val="0"/>
          <w:szCs w:val="21"/>
        </w:rPr>
      </w:pPr>
      <w:r>
        <w:rPr>
          <w:kern w:val="0"/>
          <w:szCs w:val="21"/>
        </w:rPr>
        <w:t>资深生物信息学家</w:t>
      </w:r>
    </w:p>
    <w:p>
      <w:pPr>
        <w:numPr>
          <w:ilvl w:val="0"/>
          <w:numId w:val="3"/>
        </w:numPr>
        <w:spacing w:line="360" w:lineRule="auto"/>
        <w:ind w:left="210" w:leftChars="100"/>
        <w:rPr>
          <w:rFonts w:ascii="等线" w:hAnsi="等线" w:eastAsia="等线" w:cs="等线"/>
          <w:kern w:val="0"/>
          <w:szCs w:val="21"/>
        </w:rPr>
      </w:pPr>
      <w:r>
        <w:rPr>
          <w:kern w:val="0"/>
          <w:szCs w:val="21"/>
        </w:rPr>
        <w:t>研究方向：基因组学、基因组组装与质量评估、基因组重复序列、端粒与着丝粒分析</w:t>
      </w:r>
    </w:p>
    <w:p>
      <w:pPr>
        <w:numPr>
          <w:ilvl w:val="0"/>
          <w:numId w:val="3"/>
        </w:numPr>
        <w:spacing w:line="360" w:lineRule="auto"/>
        <w:ind w:left="210" w:leftChars="100"/>
        <w:rPr>
          <w:rFonts w:ascii="等线" w:hAnsi="等线" w:eastAsia="等线" w:cs="等线"/>
          <w:kern w:val="0"/>
          <w:szCs w:val="21"/>
        </w:rPr>
      </w:pPr>
      <w:r>
        <w:rPr>
          <w:kern w:val="0"/>
          <w:szCs w:val="21"/>
        </w:rPr>
        <w:t>研究同倍体杂交物种形成后的基因组变化与稳定化过程，以牛津千里光为模式体系；长期从事可复现基因组学流程建设。</w:t>
      </w:r>
    </w:p>
    <w:p>
      <w:pPr>
        <w:jc w:val="left"/>
      </w:pPr>
      <w:r>
        <w:drawing>
          <wp:inline distT="0" distB="0" distL="0" distR="0">
            <wp:extent cx="1151890" cy="1439545"/>
            <wp:effectExtent l="0" t="0" r="0" b="0"/>
            <wp:docPr id="682311530" name="Picture 68231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11530" name="Picture 682311530"/>
                    <pic:cNvPicPr>
                      <a:picLocks noChangeAspect="1"/>
                    </pic:cNvPicPr>
                  </pic:nvPicPr>
                  <pic:blipFill>
                    <a:blip r:embed="rId13"/>
                    <a:stretch>
                      <a:fillRect/>
                    </a:stretch>
                  </pic:blipFill>
                  <pic:spPr>
                    <a:xfrm>
                      <a:off x="0" y="0"/>
                      <a:ext cx="1152000" cy="1440000"/>
                    </a:xfrm>
                    <a:prstGeom prst="rect">
                      <a:avLst/>
                    </a:prstGeom>
                  </pic:spPr>
                </pic:pic>
              </a:graphicData>
            </a:graphic>
          </wp:inline>
        </w:drawing>
      </w:r>
    </w:p>
    <w:p>
      <w:pPr>
        <w:numPr>
          <w:ilvl w:val="0"/>
          <w:numId w:val="3"/>
        </w:numPr>
        <w:spacing w:line="360" w:lineRule="auto"/>
        <w:ind w:left="210" w:leftChars="100"/>
        <w:rPr>
          <w:rFonts w:ascii="等线" w:hAnsi="等线" w:eastAsia="等线" w:cs="等线"/>
          <w:kern w:val="0"/>
          <w:szCs w:val="21"/>
        </w:rPr>
      </w:pPr>
      <w:r>
        <w:rPr>
          <w:kern w:val="0"/>
          <w:szCs w:val="21"/>
        </w:rPr>
        <w:t>Albert Cardona 教授</w:t>
      </w:r>
    </w:p>
    <w:p>
      <w:pPr>
        <w:numPr>
          <w:ilvl w:val="0"/>
          <w:numId w:val="3"/>
        </w:numPr>
        <w:spacing w:line="360" w:lineRule="auto"/>
        <w:ind w:left="210" w:leftChars="100"/>
        <w:rPr>
          <w:rFonts w:ascii="等线" w:hAnsi="等线" w:eastAsia="等线" w:cs="等线"/>
          <w:kern w:val="0"/>
          <w:szCs w:val="21"/>
        </w:rPr>
      </w:pPr>
      <w:r>
        <w:rPr>
          <w:kern w:val="0"/>
          <w:szCs w:val="21"/>
        </w:rPr>
        <w:t>剑桥大学生理、发育与神经科学系（PDN）教授</w:t>
      </w:r>
    </w:p>
    <w:p>
      <w:pPr>
        <w:numPr>
          <w:ilvl w:val="0"/>
          <w:numId w:val="3"/>
        </w:numPr>
        <w:spacing w:line="360" w:lineRule="auto"/>
        <w:ind w:left="210" w:leftChars="100"/>
        <w:rPr>
          <w:rFonts w:ascii="等线" w:hAnsi="等线" w:eastAsia="等线" w:cs="等线"/>
          <w:kern w:val="0"/>
          <w:szCs w:val="21"/>
        </w:rPr>
      </w:pPr>
      <w:r>
        <w:rPr>
          <w:kern w:val="0"/>
          <w:szCs w:val="21"/>
        </w:rPr>
        <w:t>研究方向：神经环路结构与功能、电镜环路重建、连接组学、电生理与行为建模</w:t>
      </w:r>
    </w:p>
    <w:p>
      <w:pPr>
        <w:numPr>
          <w:ilvl w:val="0"/>
          <w:numId w:val="3"/>
        </w:numPr>
        <w:spacing w:line="360" w:lineRule="auto"/>
        <w:ind w:left="210" w:leftChars="100"/>
        <w:rPr>
          <w:rFonts w:ascii="等线" w:hAnsi="等线" w:eastAsia="等线" w:cs="等线"/>
          <w:kern w:val="0"/>
          <w:szCs w:val="21"/>
        </w:rPr>
      </w:pPr>
      <w:r>
        <w:rPr>
          <w:kern w:val="0"/>
          <w:szCs w:val="21"/>
        </w:rPr>
        <w:t>以电子显微镜环路测绘研究大脑的整体工作方式，绘制全部神经元连接并识别可引发或阻断特定行为的单个神经元。</w:t>
      </w:r>
    </w:p>
    <w:p>
      <w:pPr>
        <w:jc w:val="left"/>
      </w:pPr>
      <w:r>
        <w:drawing>
          <wp:inline distT="0" distB="0" distL="0" distR="0">
            <wp:extent cx="1151890" cy="1439545"/>
            <wp:effectExtent l="0" t="0" r="0" b="0"/>
            <wp:docPr id="682311531" name="Picture 68231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11531" name="Picture 682311531"/>
                    <pic:cNvPicPr>
                      <a:picLocks noChangeAspect="1"/>
                    </pic:cNvPicPr>
                  </pic:nvPicPr>
                  <pic:blipFill>
                    <a:blip r:embed="rId14"/>
                    <a:stretch>
                      <a:fillRect/>
                    </a:stretch>
                  </pic:blipFill>
                  <pic:spPr>
                    <a:xfrm>
                      <a:off x="0" y="0"/>
                      <a:ext cx="1152000" cy="1440000"/>
                    </a:xfrm>
                    <a:prstGeom prst="rect">
                      <a:avLst/>
                    </a:prstGeom>
                  </pic:spPr>
                </pic:pic>
              </a:graphicData>
            </a:graphic>
          </wp:inline>
        </w:drawing>
      </w:r>
    </w:p>
    <w:p>
      <w:pPr>
        <w:numPr>
          <w:ilvl w:val="0"/>
          <w:numId w:val="3"/>
        </w:numPr>
        <w:spacing w:line="360" w:lineRule="auto"/>
        <w:ind w:left="210" w:leftChars="100"/>
        <w:rPr>
          <w:rFonts w:ascii="等线" w:hAnsi="等线" w:eastAsia="等线" w:cs="等线"/>
          <w:kern w:val="0"/>
          <w:szCs w:val="21"/>
        </w:rPr>
      </w:pPr>
      <w:r>
        <w:rPr>
          <w:kern w:val="0"/>
          <w:szCs w:val="21"/>
        </w:rPr>
        <w:t>Kyriakos Flouris 博士</w:t>
      </w:r>
    </w:p>
    <w:p>
      <w:pPr>
        <w:numPr>
          <w:ilvl w:val="0"/>
          <w:numId w:val="3"/>
        </w:numPr>
        <w:spacing w:line="360" w:lineRule="auto"/>
        <w:ind w:left="210" w:leftChars="100"/>
        <w:rPr>
          <w:rFonts w:ascii="等线" w:hAnsi="等线" w:eastAsia="等线" w:cs="等线"/>
          <w:kern w:val="0"/>
          <w:szCs w:val="21"/>
        </w:rPr>
      </w:pPr>
      <w:r>
        <w:rPr>
          <w:kern w:val="0"/>
          <w:szCs w:val="21"/>
        </w:rPr>
        <w:t>剑桥大学 MRC 生物统计学部</w:t>
      </w:r>
    </w:p>
    <w:p>
      <w:pPr>
        <w:numPr>
          <w:ilvl w:val="0"/>
          <w:numId w:val="3"/>
        </w:numPr>
        <w:spacing w:line="360" w:lineRule="auto"/>
        <w:ind w:left="210" w:leftChars="100"/>
        <w:rPr>
          <w:rFonts w:ascii="等线" w:hAnsi="等线" w:eastAsia="等线" w:cs="等线"/>
          <w:kern w:val="0"/>
          <w:szCs w:val="21"/>
        </w:rPr>
      </w:pPr>
      <w:r>
        <w:rPr>
          <w:kern w:val="0"/>
          <w:szCs w:val="21"/>
        </w:rPr>
        <w:t>研究方向：医学影像、时变生物医学数据、机器学习、生成建模、计算物理、蒙特卡洛模拟</w:t>
      </w:r>
    </w:p>
    <w:p>
      <w:pPr>
        <w:numPr>
          <w:ilvl w:val="0"/>
          <w:numId w:val="3"/>
        </w:numPr>
        <w:spacing w:line="360" w:lineRule="auto"/>
        <w:ind w:left="210" w:leftChars="100"/>
        <w:rPr>
          <w:rFonts w:ascii="等线" w:hAnsi="等线" w:eastAsia="等线" w:cs="等线"/>
          <w:kern w:val="0"/>
          <w:szCs w:val="21"/>
        </w:rPr>
      </w:pPr>
      <w:r>
        <w:rPr>
          <w:kern w:val="0"/>
          <w:szCs w:val="21"/>
        </w:rPr>
        <w:t>研究面向生物医学数据的生成模型与不确定性量化，方法覆盖从物理信息建模到数字孪生与虚拟临床试验。</w:t>
      </w:r>
    </w:p>
    <w:p>
      <w:pPr>
        <w:jc w:val="left"/>
      </w:pPr>
      <w:bookmarkStart w:id="1" w:name="_GoBack"/>
      <w:bookmarkEnd w:id="1"/>
      <w:r>
        <w:drawing>
          <wp:inline distT="0" distB="0" distL="0" distR="0">
            <wp:extent cx="1151890" cy="1440180"/>
            <wp:effectExtent l="0" t="0" r="0" b="0"/>
            <wp:docPr id="682311533" name="Picture 68231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11533" name="Picture 682311533"/>
                    <pic:cNvPicPr>
                      <a:picLocks noChangeAspect="1"/>
                    </pic:cNvPicPr>
                  </pic:nvPicPr>
                  <pic:blipFill>
                    <a:blip r:embed="rId15"/>
                    <a:stretch>
                      <a:fillRect/>
                    </a:stretch>
                  </pic:blipFill>
                  <pic:spPr>
                    <a:xfrm>
                      <a:off x="0" y="0"/>
                      <a:ext cx="1152000" cy="1440722"/>
                    </a:xfrm>
                    <a:prstGeom prst="rect">
                      <a:avLst/>
                    </a:prstGeom>
                  </pic:spPr>
                </pic:pic>
              </a:graphicData>
            </a:graphic>
          </wp:inline>
        </w:drawing>
      </w:r>
    </w:p>
    <w:p>
      <w:pPr>
        <w:numPr>
          <w:ilvl w:val="0"/>
          <w:numId w:val="3"/>
        </w:numPr>
        <w:spacing w:line="360" w:lineRule="auto"/>
        <w:ind w:left="210" w:leftChars="100"/>
        <w:rPr>
          <w:rFonts w:ascii="等线" w:hAnsi="等线" w:eastAsia="等线" w:cs="等线"/>
          <w:kern w:val="0"/>
          <w:szCs w:val="21"/>
        </w:rPr>
      </w:pPr>
      <w:r>
        <w:rPr>
          <w:kern w:val="0"/>
          <w:szCs w:val="21"/>
        </w:rPr>
        <w:t>Lorenzo Di Michele 教授</w:t>
      </w:r>
    </w:p>
    <w:p>
      <w:pPr>
        <w:numPr>
          <w:ilvl w:val="0"/>
          <w:numId w:val="3"/>
        </w:numPr>
        <w:spacing w:line="360" w:lineRule="auto"/>
        <w:ind w:left="210" w:leftChars="100"/>
        <w:rPr>
          <w:rFonts w:ascii="等线" w:hAnsi="等线" w:eastAsia="等线" w:cs="等线"/>
          <w:kern w:val="0"/>
          <w:szCs w:val="21"/>
        </w:rPr>
      </w:pPr>
      <w:r>
        <w:rPr>
          <w:kern w:val="0"/>
          <w:szCs w:val="21"/>
        </w:rPr>
        <w:t>剑桥大学化学工程与生物技术系教授</w:t>
      </w:r>
    </w:p>
    <w:p>
      <w:pPr>
        <w:numPr>
          <w:ilvl w:val="0"/>
          <w:numId w:val="3"/>
        </w:numPr>
        <w:spacing w:line="360" w:lineRule="auto"/>
        <w:ind w:left="210" w:leftChars="100"/>
        <w:rPr>
          <w:rFonts w:ascii="等线" w:hAnsi="等线" w:eastAsia="等线" w:cs="等线"/>
          <w:kern w:val="0"/>
          <w:szCs w:val="21"/>
        </w:rPr>
      </w:pPr>
      <w:r>
        <w:rPr>
          <w:kern w:val="0"/>
          <w:szCs w:val="21"/>
        </w:rPr>
        <w:t>研究方向：人工细胞、软物质、DNA 纳米技术、核酸纳米技术、仿生体系与生物医学应用</w:t>
      </w:r>
    </w:p>
    <w:p>
      <w:pPr>
        <w:numPr>
          <w:ilvl w:val="0"/>
          <w:numId w:val="3"/>
        </w:numPr>
        <w:spacing w:line="360" w:lineRule="auto"/>
        <w:ind w:left="210" w:leftChars="100"/>
        <w:rPr>
          <w:rFonts w:ascii="等线" w:hAnsi="等线" w:eastAsia="等线" w:cs="等线"/>
          <w:kern w:val="0"/>
          <w:szCs w:val="21"/>
        </w:rPr>
      </w:pPr>
      <w:r>
        <w:rPr>
          <w:kern w:val="0"/>
          <w:szCs w:val="21"/>
        </w:rPr>
        <w:t>研究以核酸纳米技术构筑仿生与人工细胞体系，横跨软物质物理、合成生物学与生物医学工程。</w:t>
      </w:r>
    </w:p>
    <w:p>
      <w:pPr>
        <w:jc w:val="left"/>
      </w:pPr>
      <w:r>
        <w:drawing>
          <wp:inline distT="0" distB="0" distL="0" distR="0">
            <wp:extent cx="1151890" cy="1439545"/>
            <wp:effectExtent l="0" t="0" r="0" b="0"/>
            <wp:docPr id="682311534" name="Picture 68231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11534" name="Picture 682311534"/>
                    <pic:cNvPicPr>
                      <a:picLocks noChangeAspect="1"/>
                    </pic:cNvPicPr>
                  </pic:nvPicPr>
                  <pic:blipFill>
                    <a:blip r:embed="rId16"/>
                    <a:stretch>
                      <a:fillRect/>
                    </a:stretch>
                  </pic:blipFill>
                  <pic:spPr>
                    <a:xfrm>
                      <a:off x="0" y="0"/>
                      <a:ext cx="1152000" cy="1440000"/>
                    </a:xfrm>
                    <a:prstGeom prst="rect">
                      <a:avLst/>
                    </a:prstGeom>
                  </pic:spPr>
                </pic:pic>
              </a:graphicData>
            </a:graphic>
          </wp:inline>
        </w:drawing>
      </w:r>
    </w:p>
    <w:p>
      <w:pPr>
        <w:numPr>
          <w:ilvl w:val="0"/>
          <w:numId w:val="3"/>
        </w:numPr>
        <w:spacing w:line="360" w:lineRule="auto"/>
        <w:ind w:left="210" w:leftChars="100"/>
        <w:rPr>
          <w:rFonts w:ascii="等线" w:hAnsi="等线" w:eastAsia="等线" w:cs="等线"/>
          <w:kern w:val="0"/>
          <w:szCs w:val="21"/>
        </w:rPr>
      </w:pPr>
      <w:r>
        <w:rPr>
          <w:kern w:val="0"/>
          <w:szCs w:val="21"/>
        </w:rPr>
        <w:t>Siddhartha Kar 副教授</w:t>
      </w:r>
    </w:p>
    <w:p>
      <w:pPr>
        <w:numPr>
          <w:ilvl w:val="0"/>
          <w:numId w:val="3"/>
        </w:numPr>
        <w:spacing w:line="360" w:lineRule="auto"/>
        <w:ind w:left="210" w:leftChars="100"/>
        <w:rPr>
          <w:rFonts w:ascii="等线" w:hAnsi="等线" w:eastAsia="等线" w:cs="等线"/>
          <w:kern w:val="0"/>
          <w:szCs w:val="21"/>
        </w:rPr>
      </w:pPr>
      <w:r>
        <w:rPr>
          <w:kern w:val="0"/>
          <w:szCs w:val="21"/>
        </w:rPr>
        <w:t>剑桥大学早期癌症研究所 / 肿瘤学系遗传流行病学副教授</w:t>
      </w:r>
    </w:p>
    <w:p>
      <w:pPr>
        <w:numPr>
          <w:ilvl w:val="0"/>
          <w:numId w:val="3"/>
        </w:numPr>
        <w:spacing w:line="360" w:lineRule="auto"/>
        <w:ind w:left="210" w:leftChars="100"/>
        <w:rPr>
          <w:rFonts w:ascii="等线" w:hAnsi="等线" w:eastAsia="等线" w:cs="等线"/>
          <w:kern w:val="0"/>
          <w:szCs w:val="21"/>
        </w:rPr>
      </w:pPr>
      <w:r>
        <w:rPr>
          <w:kern w:val="0"/>
          <w:szCs w:val="21"/>
        </w:rPr>
        <w:t>研究方向：遗传关联与流行病学、BRCA 基因突变与癌症、营养—遗传—疾病、表观遗传与DNA甲基化</w:t>
      </w:r>
    </w:p>
    <w:p>
      <w:pPr>
        <w:numPr>
          <w:ilvl w:val="0"/>
          <w:numId w:val="3"/>
        </w:numPr>
        <w:spacing w:line="360" w:lineRule="auto"/>
        <w:ind w:left="210" w:leftChars="100"/>
        <w:rPr>
          <w:rFonts w:ascii="等线" w:hAnsi="等线" w:eastAsia="等线" w:cs="等线"/>
          <w:kern w:val="0"/>
          <w:szCs w:val="21"/>
        </w:rPr>
      </w:pPr>
      <w:r>
        <w:rPr>
          <w:kern w:val="0"/>
          <w:szCs w:val="21"/>
        </w:rPr>
        <w:t>曾于 MD Anderson 癌症中心研究，并任剑桥霍默顿学院初级研究员；2020 年获 UKRI 未来领袖奖学金并建立独立研究组。</w:t>
      </w:r>
    </w:p>
    <w:p>
      <w:pPr>
        <w:jc w:val="left"/>
      </w:pPr>
      <w:r>
        <w:drawing>
          <wp:inline distT="0" distB="0" distL="0" distR="0">
            <wp:extent cx="1151890" cy="1439545"/>
            <wp:effectExtent l="0" t="0" r="0" b="0"/>
            <wp:docPr id="682311535" name="Picture 68231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11535" name="Picture 682311535"/>
                    <pic:cNvPicPr>
                      <a:picLocks noChangeAspect="1"/>
                    </pic:cNvPicPr>
                  </pic:nvPicPr>
                  <pic:blipFill>
                    <a:blip r:embed="rId17"/>
                    <a:stretch>
                      <a:fillRect/>
                    </a:stretch>
                  </pic:blipFill>
                  <pic:spPr>
                    <a:xfrm>
                      <a:off x="0" y="0"/>
                      <a:ext cx="1152000" cy="1440000"/>
                    </a:xfrm>
                    <a:prstGeom prst="rect">
                      <a:avLst/>
                    </a:prstGeom>
                  </pic:spPr>
                </pic:pic>
              </a:graphicData>
            </a:graphic>
          </wp:inline>
        </w:drawing>
      </w:r>
    </w:p>
    <w:p>
      <w:pPr>
        <w:numPr>
          <w:ilvl w:val="0"/>
          <w:numId w:val="3"/>
        </w:numPr>
        <w:spacing w:line="360" w:lineRule="auto"/>
        <w:ind w:left="210" w:leftChars="100"/>
        <w:rPr>
          <w:rFonts w:ascii="等线" w:hAnsi="等线" w:eastAsia="等线" w:cs="等线"/>
          <w:kern w:val="0"/>
          <w:szCs w:val="21"/>
        </w:rPr>
      </w:pPr>
      <w:r>
        <w:rPr>
          <w:kern w:val="0"/>
          <w:szCs w:val="21"/>
        </w:rPr>
        <w:t>Athina E. Markaki 教授</w:t>
      </w:r>
    </w:p>
    <w:p>
      <w:pPr>
        <w:numPr>
          <w:ilvl w:val="0"/>
          <w:numId w:val="3"/>
        </w:numPr>
        <w:spacing w:line="360" w:lineRule="auto"/>
        <w:ind w:left="210" w:leftChars="100"/>
        <w:rPr>
          <w:rFonts w:ascii="等线" w:hAnsi="等线" w:eastAsia="等线" w:cs="等线"/>
          <w:kern w:val="0"/>
          <w:szCs w:val="21"/>
        </w:rPr>
      </w:pPr>
      <w:r>
        <w:rPr>
          <w:kern w:val="0"/>
          <w:szCs w:val="21"/>
        </w:rPr>
        <w:t>剑桥大学工程系材料与生物医学工程教授</w:t>
      </w:r>
    </w:p>
    <w:p>
      <w:pPr>
        <w:numPr>
          <w:ilvl w:val="0"/>
          <w:numId w:val="3"/>
        </w:numPr>
        <w:spacing w:line="360" w:lineRule="auto"/>
        <w:ind w:left="210" w:leftChars="100"/>
        <w:rPr>
          <w:rFonts w:ascii="等线" w:hAnsi="等线" w:eastAsia="等线" w:cs="等线"/>
          <w:kern w:val="0"/>
          <w:szCs w:val="21"/>
        </w:rPr>
      </w:pPr>
      <w:r>
        <w:rPr>
          <w:kern w:val="0"/>
          <w:szCs w:val="21"/>
        </w:rPr>
        <w:t>研究方向：组织工程血管网络、组织工程支架、脑癌细胞迁移、材料—组织相互作用</w:t>
      </w:r>
    </w:p>
    <w:p>
      <w:pPr>
        <w:numPr>
          <w:ilvl w:val="0"/>
          <w:numId w:val="3"/>
        </w:numPr>
        <w:spacing w:line="360" w:lineRule="auto"/>
        <w:ind w:left="210" w:leftChars="100"/>
        <w:rPr>
          <w:rFonts w:ascii="等线" w:hAnsi="等线" w:eastAsia="等线" w:cs="等线"/>
          <w:kern w:val="0"/>
          <w:szCs w:val="21"/>
        </w:rPr>
      </w:pPr>
      <w:r>
        <w:rPr>
          <w:kern w:val="0"/>
          <w:szCs w:val="21"/>
        </w:rPr>
        <w:t>领导剑桥大学工程系材料工程与材料—组织相互作用研究组。</w:t>
      </w:r>
    </w:p>
    <w:p>
      <w:pPr>
        <w:spacing w:line="360" w:lineRule="auto"/>
        <w:jc w:val="left"/>
        <w:rPr>
          <w:rFonts w:hint="eastAsia" w:ascii="等线" w:hAnsi="等线" w:eastAsia="等线" w:cs="等线"/>
          <w:szCs w:val="21"/>
        </w:rPr>
      </w:pPr>
    </w:p>
    <w:p>
      <w:pPr>
        <w:spacing w:line="360" w:lineRule="auto"/>
        <w:jc w:val="left"/>
        <w:rPr>
          <w:rFonts w:ascii="等线" w:hAnsi="等线" w:eastAsia="等线" w:cs="等线"/>
          <w:szCs w:val="21"/>
        </w:rPr>
      </w:pPr>
      <w:r>
        <w:rPr>
          <w:rFonts w:hint="eastAsia" w:ascii="等线" w:hAnsi="等线" w:eastAsia="等线" w:cs="等线"/>
          <w:szCs w:val="21"/>
        </w:rPr>
        <w:t>【</w:t>
      </w:r>
      <w:r>
        <w:rPr>
          <w:b/>
          <w:szCs w:val="21"/>
        </w:rPr>
        <w:t>项目收获</w:t>
      </w:r>
      <w:r>
        <w:rPr>
          <w:rFonts w:hint="eastAsia" w:ascii="等线" w:hAnsi="等线" w:eastAsia="等线" w:cs="等线"/>
          <w:szCs w:val="21"/>
        </w:rPr>
        <w:t>】</w:t>
      </w:r>
    </w:p>
    <w:p>
      <w:pPr>
        <w:spacing w:line="360" w:lineRule="auto"/>
        <w:ind w:firstLine="420" w:firstLineChars="200"/>
        <w:rPr>
          <w:rFonts w:ascii="等线" w:hAnsi="等线" w:eastAsia="等线" w:cs="等线"/>
          <w:kern w:val="0"/>
          <w:szCs w:val="21"/>
        </w:rPr>
      </w:pPr>
      <w:r>
        <w:rPr>
          <w:kern w:val="0"/>
          <w:szCs w:val="21"/>
        </w:rPr>
        <w:t>顺利完成项目学习的学生，可获得剑桥授课教授签发的参课证明与成绩评估；前top 20%的优秀学生可获得导师的个性化推荐信，助力未来的留学网申。</w:t>
      </w:r>
    </w:p>
    <w:p>
      <w:pPr>
        <w:spacing w:line="360" w:lineRule="auto"/>
        <w:ind w:firstLine="210" w:firstLineChars="100"/>
        <w:rPr>
          <w:rFonts w:ascii="等线" w:hAnsi="等线" w:eastAsia="等线" w:cs="等线"/>
          <w:szCs w:val="21"/>
        </w:rPr>
      </w:pPr>
      <w:r>
        <w:rPr>
          <w:rFonts w:hint="eastAsia" w:ascii="等线" w:hAnsi="等线" w:eastAsia="等线" w:cs="等线"/>
        </w:rPr>
        <w:drawing>
          <wp:anchor distT="0" distB="0" distL="114300" distR="114300" simplePos="0" relativeHeight="251660288" behindDoc="0" locked="0" layoutInCell="1" allowOverlap="1">
            <wp:simplePos x="0" y="0"/>
            <wp:positionH relativeFrom="column">
              <wp:posOffset>40005</wp:posOffset>
            </wp:positionH>
            <wp:positionV relativeFrom="paragraph">
              <wp:posOffset>260350</wp:posOffset>
            </wp:positionV>
            <wp:extent cx="1575435" cy="1930400"/>
            <wp:effectExtent l="0" t="0" r="5715" b="0"/>
            <wp:wrapSquare wrapText="bothSides"/>
            <wp:docPr id="6823115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11522" name="图片 1"/>
                    <pic:cNvPicPr>
                      <a:picLocks noChangeAspect="1"/>
                    </pic:cNvPicPr>
                  </pic:nvPicPr>
                  <pic:blipFill>
                    <a:blip r:embed="rId18"/>
                    <a:stretch>
                      <a:fillRect/>
                    </a:stretch>
                  </pic:blipFill>
                  <pic:spPr>
                    <a:xfrm>
                      <a:off x="0" y="0"/>
                      <a:ext cx="1575435" cy="1930400"/>
                    </a:xfrm>
                    <a:prstGeom prst="rect">
                      <a:avLst/>
                    </a:prstGeom>
                  </pic:spPr>
                </pic:pic>
              </a:graphicData>
            </a:graphic>
          </wp:anchor>
        </w:drawing>
      </w:r>
    </w:p>
    <w:p>
      <w:pPr>
        <w:spacing w:line="360" w:lineRule="auto"/>
        <w:ind w:firstLine="210" w:firstLineChars="100"/>
        <w:rPr>
          <w:rFonts w:ascii="等线" w:hAnsi="等线" w:eastAsia="等线" w:cs="等线"/>
          <w:szCs w:val="21"/>
        </w:rPr>
      </w:pPr>
      <w:r>
        <w:rPr>
          <w:rFonts w:hint="eastAsia" w:ascii="等线" w:hAnsi="等线" w:eastAsia="等线" w:cs="等线"/>
        </w:rPr>
        <w:drawing>
          <wp:anchor distT="0" distB="0" distL="114300" distR="114300" simplePos="0" relativeHeight="251659264" behindDoc="0" locked="0" layoutInCell="1" allowOverlap="1">
            <wp:simplePos x="0" y="0"/>
            <wp:positionH relativeFrom="column">
              <wp:posOffset>131445</wp:posOffset>
            </wp:positionH>
            <wp:positionV relativeFrom="paragraph">
              <wp:posOffset>635</wp:posOffset>
            </wp:positionV>
            <wp:extent cx="1581150" cy="1908810"/>
            <wp:effectExtent l="19050" t="19050" r="19050" b="1524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9"/>
                    <a:stretch>
                      <a:fillRect/>
                    </a:stretch>
                  </pic:blipFill>
                  <pic:spPr>
                    <a:xfrm>
                      <a:off x="0" y="0"/>
                      <a:ext cx="1581150" cy="1908810"/>
                    </a:xfrm>
                    <a:prstGeom prst="rect">
                      <a:avLst/>
                    </a:prstGeom>
                    <a:noFill/>
                    <a:ln>
                      <a:solidFill>
                        <a:schemeClr val="accent1"/>
                      </a:solidFill>
                    </a:ln>
                  </pic:spPr>
                </pic:pic>
              </a:graphicData>
            </a:graphic>
          </wp:anchor>
        </w:drawing>
      </w:r>
    </w:p>
    <w:p>
      <w:pPr>
        <w:spacing w:line="360" w:lineRule="auto"/>
        <w:ind w:firstLine="210" w:firstLineChars="100"/>
        <w:rPr>
          <w:rFonts w:ascii="等线" w:hAnsi="等线" w:eastAsia="等线" w:cs="等线"/>
          <w:szCs w:val="21"/>
        </w:rPr>
      </w:pPr>
    </w:p>
    <w:p>
      <w:pPr>
        <w:spacing w:line="360" w:lineRule="auto"/>
        <w:ind w:firstLine="210" w:firstLineChars="100"/>
        <w:rPr>
          <w:rFonts w:ascii="等线" w:hAnsi="等线" w:eastAsia="等线" w:cs="等线"/>
          <w:szCs w:val="21"/>
        </w:rPr>
      </w:pPr>
    </w:p>
    <w:p>
      <w:pPr>
        <w:spacing w:line="360" w:lineRule="auto"/>
        <w:ind w:firstLine="210" w:firstLineChars="100"/>
        <w:rPr>
          <w:rFonts w:ascii="等线" w:hAnsi="等线" w:eastAsia="等线" w:cs="等线"/>
          <w:szCs w:val="21"/>
        </w:rPr>
      </w:pPr>
    </w:p>
    <w:p>
      <w:pPr>
        <w:spacing w:line="360" w:lineRule="auto"/>
        <w:ind w:firstLine="210" w:firstLineChars="100"/>
        <w:rPr>
          <w:rFonts w:ascii="等线" w:hAnsi="等线" w:eastAsia="等线" w:cs="等线"/>
          <w:szCs w:val="21"/>
        </w:rPr>
      </w:pPr>
    </w:p>
    <w:p>
      <w:pPr>
        <w:spacing w:line="360" w:lineRule="auto"/>
        <w:ind w:firstLine="210" w:firstLineChars="100"/>
        <w:rPr>
          <w:rFonts w:ascii="等线" w:hAnsi="等线" w:eastAsia="等线" w:cs="等线"/>
          <w:szCs w:val="21"/>
        </w:rPr>
      </w:pPr>
    </w:p>
    <w:p>
      <w:pPr>
        <w:spacing w:line="360" w:lineRule="auto"/>
        <w:rPr>
          <w:rFonts w:ascii="等线" w:hAnsi="等线" w:eastAsia="等线" w:cs="等线"/>
          <w:szCs w:val="21"/>
        </w:rPr>
      </w:pPr>
    </w:p>
    <w:p>
      <w:pPr>
        <w:spacing w:line="360" w:lineRule="auto"/>
        <w:ind w:firstLine="210" w:firstLineChars="100"/>
        <w:rPr>
          <w:rFonts w:ascii="等线" w:hAnsi="等线" w:eastAsia="等线" w:cs="等线"/>
          <w:szCs w:val="21"/>
        </w:rPr>
      </w:pPr>
      <w:r>
        <w:rPr>
          <w:szCs w:val="21"/>
        </w:rPr>
        <w:t>图：参课证明、个人评估信样图</w:t>
      </w:r>
    </w:p>
    <w:p>
      <w:pPr>
        <w:spacing w:line="360" w:lineRule="auto"/>
        <w:rPr>
          <w:rFonts w:ascii="等线" w:hAnsi="等线" w:eastAsia="等线" w:cs="等线"/>
          <w:szCs w:val="21"/>
        </w:rPr>
      </w:pPr>
    </w:p>
    <w:p>
      <w:pPr>
        <w:widowControl/>
        <w:spacing w:line="360" w:lineRule="auto"/>
        <w:jc w:val="left"/>
        <w:rPr>
          <w:rFonts w:ascii="等线" w:hAnsi="等线" w:eastAsia="等线" w:cs="等线"/>
          <w:szCs w:val="21"/>
        </w:rPr>
      </w:pPr>
      <w:r>
        <w:rPr>
          <w:rFonts w:hint="eastAsia" w:ascii="等线" w:hAnsi="等线" w:eastAsia="等线" w:cs="等线"/>
          <w:szCs w:val="21"/>
        </w:rPr>
        <w:t>【</w:t>
      </w:r>
      <w:r>
        <w:rPr>
          <w:b/>
          <w:bCs/>
          <w:kern w:val="0"/>
          <w:szCs w:val="21"/>
        </w:rPr>
        <w:t>项目费用</w:t>
      </w:r>
      <w:r>
        <w:rPr>
          <w:rFonts w:hint="eastAsia" w:ascii="等线" w:hAnsi="等线" w:eastAsia="等线" w:cs="等线"/>
          <w:szCs w:val="21"/>
        </w:rPr>
        <w:t>】</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65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951" w:type="dxa"/>
          </w:tcPr>
          <w:p>
            <w:pPr>
              <w:spacing w:line="360" w:lineRule="auto"/>
              <w:rPr>
                <w:rFonts w:ascii="等线" w:hAnsi="等线" w:eastAsia="等线" w:cs="等线"/>
                <w:szCs w:val="21"/>
              </w:rPr>
            </w:pPr>
            <w:r>
              <w:rPr>
                <w:szCs w:val="21"/>
              </w:rPr>
              <w:t>项目总费用</w:t>
            </w:r>
          </w:p>
        </w:tc>
        <w:tc>
          <w:tcPr>
            <w:tcW w:w="6571" w:type="dxa"/>
          </w:tcPr>
          <w:p>
            <w:pPr>
              <w:spacing w:line="360" w:lineRule="auto"/>
              <w:rPr>
                <w:rFonts w:hint="eastAsia" w:ascii="等线" w:hAnsi="等线" w:eastAsia="等线" w:cs="等线"/>
                <w:szCs w:val="21"/>
                <w:lang w:val="en-US" w:eastAsia="zh-CN"/>
              </w:rPr>
            </w:pPr>
            <w:r>
              <w:rPr>
                <w:rFonts w:hint="eastAsia" w:ascii="等线" w:hAnsi="等线" w:eastAsia="等线" w:cs="等线"/>
                <w:szCs w:val="21"/>
                <w:lang w:val="en-US" w:eastAsia="zh-CN"/>
              </w:rPr>
              <w:t>1月（2周）：人民币3.36万元</w:t>
            </w:r>
          </w:p>
          <w:p>
            <w:pPr>
              <w:spacing w:line="360" w:lineRule="auto"/>
              <w:rPr>
                <w:rFonts w:hint="default" w:ascii="等线" w:hAnsi="等线" w:eastAsia="等线" w:cs="等线"/>
                <w:szCs w:val="21"/>
                <w:lang w:val="en-US" w:eastAsia="zh-CN"/>
              </w:rPr>
            </w:pPr>
            <w:r>
              <w:rPr>
                <w:rFonts w:hint="eastAsia" w:ascii="等线" w:hAnsi="等线" w:eastAsia="等线" w:cs="等线"/>
                <w:szCs w:val="21"/>
                <w:lang w:val="en-US" w:eastAsia="zh-CN"/>
              </w:rPr>
              <w:t>2月（12天11晚）：人民币3.23万元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pPr>
              <w:spacing w:line="360" w:lineRule="auto"/>
              <w:rPr>
                <w:rFonts w:ascii="等线" w:hAnsi="等线" w:eastAsia="等线" w:cs="等线"/>
                <w:szCs w:val="21"/>
              </w:rPr>
            </w:pPr>
            <w:r>
              <w:rPr>
                <w:szCs w:val="21"/>
              </w:rPr>
              <w:t>费用包括：</w:t>
            </w:r>
          </w:p>
        </w:tc>
        <w:tc>
          <w:tcPr>
            <w:tcW w:w="6571" w:type="dxa"/>
            <w:vAlign w:val="top"/>
          </w:tcPr>
          <w:p>
            <w:pPr>
              <w:spacing w:line="360" w:lineRule="auto"/>
              <w:rPr>
                <w:rFonts w:ascii="等线" w:hAnsi="等线" w:eastAsia="等线" w:cs="等线"/>
                <w:szCs w:val="21"/>
              </w:rPr>
            </w:pPr>
            <w:r>
              <w:rPr>
                <w:szCs w:val="21"/>
              </w:rPr>
              <w:t>学费、酒店双人间住宿与早餐、剑桥当地文化体验活动（由剑桥学生助理陪同</w:t>
            </w:r>
            <w:r>
              <w:rPr>
                <w:rFonts w:hint="eastAsia" w:ascii="等线" w:hAnsi="等线" w:eastAsia="等线" w:cs="等线"/>
                <w:szCs w:val="21"/>
              </w:rPr>
              <w:t>）、</w:t>
            </w:r>
            <w:r>
              <w:rPr>
                <w:szCs w:val="21"/>
              </w:rPr>
              <w:t>伦敦一日游和牛津一日游</w:t>
            </w:r>
            <w:r>
              <w:rPr>
                <w:rFonts w:hint="eastAsia" w:ascii="等线" w:hAnsi="等线" w:eastAsia="等线" w:cs="等线"/>
                <w:szCs w:val="21"/>
              </w:rPr>
              <w:t>（</w:t>
            </w:r>
            <w:r>
              <w:rPr>
                <w:szCs w:val="21"/>
              </w:rPr>
              <w:t>含大巴+司导）、一次高桌晚宴、</w:t>
            </w:r>
            <w:r>
              <w:rPr>
                <w:rFonts w:hint="eastAsia"/>
                <w:szCs w:val="21"/>
                <w:lang w:val="en-US" w:eastAsia="zh-CN"/>
              </w:rPr>
              <w:t>剑桥学长/学姐分享、</w:t>
            </w:r>
            <w:r>
              <w:rPr>
                <w:rFonts w:hint="eastAsia" w:asciiTheme="minorHAnsi" w:hAnsiTheme="minorHAnsi" w:eastAsiaTheme="majorEastAsia" w:cstheme="minorHAnsi"/>
                <w:szCs w:val="21"/>
                <w:highlight w:val="none"/>
                <w:lang w:val="en-US" w:eastAsia="zh-CN"/>
              </w:rPr>
              <w:t>境外出行旅意</w:t>
            </w:r>
            <w:r>
              <w:rPr>
                <w:rFonts w:hint="eastAsia" w:asciiTheme="minorHAnsi" w:hAnsiTheme="minorHAnsi" w:eastAsiaTheme="majorEastAsia" w:cstheme="minorHAnsi"/>
                <w:szCs w:val="21"/>
                <w:highlight w:val="none"/>
              </w:rPr>
              <w:t>险</w:t>
            </w:r>
            <w:r>
              <w:rPr>
                <w:szCs w:val="21"/>
              </w:rPr>
              <w:t>、接送机以及项目服务费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pPr>
              <w:spacing w:line="360" w:lineRule="auto"/>
              <w:rPr>
                <w:rFonts w:ascii="等线" w:hAnsi="等线" w:eastAsia="等线" w:cs="等线"/>
                <w:szCs w:val="21"/>
              </w:rPr>
            </w:pPr>
            <w:r>
              <w:rPr>
                <w:szCs w:val="21"/>
              </w:rPr>
              <w:t>费用不包括：</w:t>
            </w:r>
          </w:p>
        </w:tc>
        <w:tc>
          <w:tcPr>
            <w:tcW w:w="6571" w:type="dxa"/>
            <w:vAlign w:val="top"/>
          </w:tcPr>
          <w:p>
            <w:pPr>
              <w:spacing w:line="360" w:lineRule="auto"/>
              <w:rPr>
                <w:rFonts w:ascii="等线" w:hAnsi="等线" w:eastAsia="等线" w:cs="等线"/>
                <w:szCs w:val="21"/>
              </w:rPr>
            </w:pPr>
            <w:r>
              <w:rPr>
                <w:szCs w:val="21"/>
              </w:rPr>
              <w:t>国际机票、英国签证费与其它个人消费，如日常午餐与晚餐，</w:t>
            </w:r>
            <w:r>
              <w:rPr>
                <w:rFonts w:hint="eastAsia"/>
                <w:szCs w:val="21"/>
                <w:lang w:val="en-US" w:eastAsia="zh-CN"/>
              </w:rPr>
              <w:t>景点</w:t>
            </w:r>
            <w:r>
              <w:rPr>
                <w:szCs w:val="21"/>
              </w:rPr>
              <w:t>门票</w:t>
            </w:r>
            <w:r>
              <w:rPr>
                <w:rFonts w:hint="eastAsia"/>
                <w:szCs w:val="21"/>
                <w:lang w:eastAsia="zh-CN"/>
              </w:rPr>
              <w:t>（</w:t>
            </w:r>
            <w:r>
              <w:rPr>
                <w:rFonts w:hint="eastAsia"/>
                <w:szCs w:val="21"/>
                <w:lang w:val="en-US" w:eastAsia="zh-CN"/>
              </w:rPr>
              <w:t>如</w:t>
            </w:r>
            <w:r>
              <w:rPr>
                <w:szCs w:val="21"/>
              </w:rPr>
              <w:t>国王学院参观</w:t>
            </w:r>
            <w:r>
              <w:rPr>
                <w:rFonts w:hint="eastAsia"/>
                <w:szCs w:val="21"/>
                <w:lang w:eastAsia="zh-CN"/>
              </w:rPr>
              <w:t>，</w:t>
            </w:r>
            <w:r>
              <w:rPr>
                <w:szCs w:val="21"/>
              </w:rPr>
              <w:t>康河游船</w:t>
            </w:r>
            <w:r>
              <w:rPr>
                <w:rFonts w:hint="eastAsia"/>
                <w:szCs w:val="21"/>
                <w:lang w:val="en-US" w:eastAsia="zh-CN"/>
              </w:rPr>
              <w:t>等）</w:t>
            </w:r>
            <w:r>
              <w:rPr>
                <w:szCs w:val="21"/>
              </w:rPr>
              <w:t>、剑桥日常上下学或游览参访涉及的公共交通费用</w:t>
            </w:r>
            <w:r>
              <w:rPr>
                <w:rFonts w:hint="eastAsia"/>
                <w:szCs w:val="21"/>
                <w:lang w:eastAsia="zh-CN"/>
              </w:rPr>
              <w:t>。</w:t>
            </w:r>
          </w:p>
        </w:tc>
      </w:tr>
    </w:tbl>
    <w:p>
      <w:pPr>
        <w:spacing w:line="360" w:lineRule="auto"/>
        <w:rPr>
          <w:rFonts w:ascii="等线" w:hAnsi="等线" w:eastAsia="等线" w:cs="等线"/>
          <w:b/>
          <w:bCs/>
          <w:kern w:val="0"/>
          <w:szCs w:val="21"/>
        </w:rPr>
      </w:pPr>
    </w:p>
    <w:p>
      <w:pPr>
        <w:spacing w:line="360" w:lineRule="auto"/>
        <w:rPr>
          <w:rFonts w:ascii="等线" w:hAnsi="等线" w:eastAsia="等线" w:cs="等线"/>
          <w:b/>
          <w:kern w:val="0"/>
          <w:szCs w:val="21"/>
        </w:rPr>
      </w:pPr>
      <w:r>
        <w:rPr>
          <w:b/>
          <w:bCs/>
          <w:kern w:val="0"/>
          <w:szCs w:val="21"/>
        </w:rPr>
        <w:t>五、项目申请</w:t>
      </w:r>
    </w:p>
    <w:p>
      <w:pPr>
        <w:pStyle w:val="23"/>
        <w:numPr>
          <w:ilvl w:val="0"/>
          <w:numId w:val="4"/>
        </w:numPr>
        <w:spacing w:line="360" w:lineRule="auto"/>
        <w:ind w:firstLineChars="0"/>
        <w:rPr>
          <w:rFonts w:ascii="等线" w:hAnsi="等线" w:eastAsia="等线" w:cs="等线"/>
          <w:kern w:val="0"/>
          <w:szCs w:val="21"/>
        </w:rPr>
      </w:pPr>
      <w:r>
        <w:rPr>
          <w:szCs w:val="21"/>
        </w:rPr>
        <w:t>英语要求：</w:t>
      </w:r>
      <w:r>
        <w:rPr>
          <w:rFonts w:hint="eastAsia" w:asciiTheme="minorHAnsi" w:hAnsiTheme="minorHAnsi" w:eastAsiaTheme="majorEastAsia" w:cstheme="minorHAnsi"/>
          <w:szCs w:val="21"/>
        </w:rPr>
        <w:t>托福79，或雅思6.0，或大学英语四级5</w:t>
      </w:r>
      <w:r>
        <w:rPr>
          <w:rFonts w:asciiTheme="minorHAnsi" w:hAnsiTheme="minorHAnsi" w:eastAsiaTheme="majorEastAsia" w:cstheme="minorHAnsi"/>
          <w:szCs w:val="21"/>
        </w:rPr>
        <w:t>00</w:t>
      </w:r>
      <w:r>
        <w:rPr>
          <w:rFonts w:hint="eastAsia" w:asciiTheme="minorHAnsi" w:hAnsiTheme="minorHAnsi" w:eastAsiaTheme="majorEastAsia" w:cstheme="minorHAnsi"/>
          <w:szCs w:val="21"/>
        </w:rPr>
        <w:t>分，或大学英语六级4</w:t>
      </w:r>
      <w:r>
        <w:rPr>
          <w:rFonts w:asciiTheme="minorHAnsi" w:hAnsiTheme="minorHAnsi" w:eastAsiaTheme="majorEastAsia" w:cstheme="minorHAnsi"/>
          <w:szCs w:val="21"/>
        </w:rPr>
        <w:t>70</w:t>
      </w:r>
      <w:r>
        <w:rPr>
          <w:rFonts w:hint="eastAsia" w:asciiTheme="minorHAnsi" w:hAnsiTheme="minorHAnsi" w:eastAsiaTheme="majorEastAsia" w:cstheme="minorHAnsi"/>
          <w:szCs w:val="21"/>
        </w:rPr>
        <w:t>分，或专四/专八通过，或Duolingo105；</w:t>
      </w:r>
      <w:bookmarkStart w:id="0" w:name="_Hlk183700435"/>
      <w:r>
        <w:rPr>
          <w:rFonts w:hint="eastAsia" w:asciiTheme="minorHAnsi" w:hAnsiTheme="minorHAnsi" w:eastAsiaTheme="majorEastAsia" w:cstheme="minorHAnsi"/>
          <w:szCs w:val="21"/>
        </w:rPr>
        <w:t>或Versant51</w:t>
      </w:r>
      <w:bookmarkEnd w:id="0"/>
      <w:r>
        <w:rPr>
          <w:kern w:val="0"/>
          <w:szCs w:val="21"/>
        </w:rPr>
        <w:t>；大一学生可接受高考</w:t>
      </w:r>
      <w:r>
        <w:rPr>
          <w:rFonts w:hint="eastAsia"/>
          <w:kern w:val="0"/>
          <w:szCs w:val="21"/>
          <w:lang w:val="en-US" w:eastAsia="zh-CN"/>
        </w:rPr>
        <w:t>英语</w:t>
      </w:r>
      <w:r>
        <w:rPr>
          <w:kern w:val="0"/>
          <w:szCs w:val="21"/>
        </w:rPr>
        <w:t>成绩128</w:t>
      </w:r>
      <w:r>
        <w:rPr>
          <w:rFonts w:hint="eastAsia"/>
          <w:kern w:val="0"/>
          <w:szCs w:val="21"/>
          <w:lang w:val="en-US" w:eastAsia="zh-CN"/>
        </w:rPr>
        <w:t>分及</w:t>
      </w:r>
      <w:r>
        <w:rPr>
          <w:kern w:val="0"/>
          <w:szCs w:val="21"/>
        </w:rPr>
        <w:t>以上</w:t>
      </w:r>
      <w:r>
        <w:rPr>
          <w:rFonts w:hint="eastAsia"/>
          <w:kern w:val="0"/>
          <w:szCs w:val="21"/>
          <w:lang w:eastAsia="zh-CN"/>
        </w:rPr>
        <w:t>。</w:t>
      </w:r>
    </w:p>
    <w:p>
      <w:pPr>
        <w:pStyle w:val="23"/>
        <w:numPr>
          <w:ilvl w:val="0"/>
          <w:numId w:val="4"/>
        </w:numPr>
        <w:spacing w:line="360" w:lineRule="auto"/>
        <w:ind w:firstLineChars="0"/>
        <w:rPr>
          <w:rFonts w:ascii="Calibri" w:hAnsi="Calibri" w:eastAsia="等线" w:cs="Calibri"/>
          <w:szCs w:val="21"/>
        </w:rPr>
      </w:pPr>
      <w:r>
        <w:rPr>
          <w:szCs w:val="21"/>
        </w:rPr>
        <w:t>学术基础要求：具备材料/物理/化学/计算机或生物医学、生命科学专业背景，掌握 Python 基础；各专题方向的具体先修建议见「四、访学项目介绍」中对应方向下的先修建议。</w:t>
      </w:r>
    </w:p>
    <w:p>
      <w:pPr>
        <w:pStyle w:val="23"/>
        <w:numPr>
          <w:ilvl w:val="0"/>
          <w:numId w:val="4"/>
        </w:numPr>
        <w:spacing w:line="360" w:lineRule="auto"/>
        <w:ind w:firstLineChars="0"/>
        <w:rPr>
          <w:rFonts w:ascii="Calibri" w:hAnsi="Calibri" w:eastAsia="等线" w:cs="Calibri"/>
          <w:szCs w:val="21"/>
        </w:rPr>
      </w:pPr>
      <w:r>
        <w:rPr>
          <w:szCs w:val="21"/>
        </w:rPr>
        <w:t>适合专业：材料类、物理学类、化学/化工类、计算机/AI 类、生物医学/生命科学类专业的学生，以及对交叉学科（AI for Science、科学计算）有浓厚兴趣的学生。</w:t>
      </w:r>
    </w:p>
    <w:p>
      <w:pPr>
        <w:pStyle w:val="23"/>
        <w:numPr>
          <w:ilvl w:val="0"/>
          <w:numId w:val="4"/>
        </w:numPr>
        <w:spacing w:line="360" w:lineRule="auto"/>
        <w:ind w:firstLineChars="0"/>
        <w:rPr>
          <w:rFonts w:ascii="等线" w:hAnsi="等线" w:eastAsia="等线" w:cs="等线"/>
          <w:kern w:val="0"/>
          <w:sz w:val="20"/>
          <w:szCs w:val="21"/>
        </w:rPr>
      </w:pPr>
      <w:r>
        <w:rPr>
          <w:szCs w:val="21"/>
        </w:rPr>
        <w:t>报名方式： 全美国际教育协会网站</w:t>
      </w:r>
      <w:r>
        <w:fldChar w:fldCharType="begin"/>
      </w:r>
      <w:r>
        <w:instrText xml:space="preserve"> HYPERLINK "http://www.usiea.org" </w:instrText>
      </w:r>
      <w:r>
        <w:fldChar w:fldCharType="separate"/>
      </w:r>
      <w:r>
        <w:rPr>
          <w:rStyle w:val="18"/>
          <w:rFonts w:hint="eastAsia" w:ascii="等线" w:hAnsi="等线" w:eastAsia="等线" w:cs="等线"/>
          <w:szCs w:val="21"/>
        </w:rPr>
        <w:t>www.usiea.org</w:t>
      </w:r>
      <w:r>
        <w:rPr>
          <w:rStyle w:val="18"/>
          <w:rFonts w:hint="eastAsia" w:ascii="等线" w:hAnsi="等线" w:eastAsia="等线" w:cs="等线"/>
          <w:szCs w:val="21"/>
        </w:rPr>
        <w:fldChar w:fldCharType="end"/>
      </w:r>
      <w:r>
        <w:rPr>
          <w:szCs w:val="21"/>
        </w:rPr>
        <w:t xml:space="preserve"> 填写《世界名校访学项目报名表》；</w:t>
      </w:r>
    </w:p>
    <w:p>
      <w:pPr>
        <w:pStyle w:val="23"/>
        <w:numPr>
          <w:ilvl w:val="0"/>
          <w:numId w:val="4"/>
        </w:numPr>
        <w:spacing w:line="360" w:lineRule="auto"/>
        <w:ind w:firstLineChars="0"/>
        <w:rPr>
          <w:rFonts w:ascii="等线" w:hAnsi="等线" w:eastAsia="等线" w:cs="等线"/>
          <w:kern w:val="0"/>
          <w:sz w:val="20"/>
          <w:szCs w:val="21"/>
        </w:rPr>
      </w:pPr>
      <w:r>
        <w:rPr>
          <w:rFonts w:hint="eastAsia" w:ascii="等线" w:hAnsi="等线" w:eastAsia="等线" w:cs="等线"/>
          <w:kern w:val="0"/>
          <w:sz w:val="20"/>
          <w:szCs w:val="21"/>
        </w:rPr>
        <w:t xml:space="preserve">项目邮箱咨询：visitcambridge@yeah.net </w:t>
      </w:r>
    </w:p>
    <w:p>
      <w:pPr>
        <w:spacing w:line="360" w:lineRule="auto"/>
        <w:rPr>
          <w:rFonts w:ascii="等线" w:hAnsi="等线" w:eastAsia="等线" w:cs="等线"/>
          <w:b/>
          <w:color w:val="1F497D"/>
          <w:sz w:val="36"/>
        </w:rPr>
      </w:pPr>
    </w:p>
    <w:sectPr>
      <w:headerReference r:id="rId3" w:type="default"/>
      <w:footerReference r:id="rId4" w:type="default"/>
      <w:pgSz w:w="11906" w:h="16838"/>
      <w:pgMar w:top="2025" w:right="1800" w:bottom="1440" w:left="1800" w:header="737"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altName w:val="汉仪中等线KW"/>
    <w:panose1 w:val="02010600030101010101"/>
    <w:charset w:val="86"/>
    <w:family w:val="auto"/>
    <w:pitch w:val="default"/>
    <w:sig w:usb0="00000000" w:usb1="00000000" w:usb2="00000016" w:usb3="00000000" w:csb0="0004000F" w:csb1="00000000"/>
  </w:font>
  <w:font w:name="微软雅黑">
    <w:altName w:val="汉仪旗黑KW 55S"/>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 w:name="汉仪旗黑KW 55S">
    <w:panose1 w:val="00020600040101010101"/>
    <w:charset w:val="86"/>
    <w:family w:val="auto"/>
    <w:pitch w:val="default"/>
    <w:sig w:usb0="A00002BF" w:usb1="3ACF7CFA" w:usb2="00000016" w:usb3="00000000" w:csb0="0004009F" w:csb1="DFD70000"/>
  </w:font>
  <w:font w:name="DejaVu Sans">
    <w:panose1 w:val="020B0606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5371511"/>
    </w:sdtPr>
    <w:sdtContent>
      <w:p>
        <w:pPr>
          <w:pStyle w:val="9"/>
          <w:jc w:val="center"/>
        </w:pPr>
        <w:r>
          <w:fldChar w:fldCharType="begin"/>
        </w:r>
        <w:r>
          <w:instrText xml:space="preserve">PAGE   \* MERGEFORMAT</w:instrText>
        </w:r>
        <w:r>
          <w:fldChar w:fldCharType="separate"/>
        </w:r>
        <w:r>
          <w:rPr>
            <w:lang w:val="zh-CN"/>
          </w:rPr>
          <w:t>2</w:t>
        </w:r>
        <w:r>
          <w:fldChar w:fldCharType="end"/>
        </w:r>
      </w:p>
    </w:sdtContent>
  </w:sdt>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0" w:lineRule="atLeast"/>
      <w:ind w:right="-336" w:rightChars="-160"/>
      <w:rPr>
        <w:rFonts w:ascii="微软雅黑" w:hAnsi="微软雅黑" w:eastAsia="微软雅黑"/>
        <w:sz w:val="30"/>
        <w:szCs w:val="30"/>
        <w:lang w:val="en-CA"/>
      </w:rPr>
    </w:pPr>
    <w:r>
      <w:rPr>
        <w:rFonts w:hint="eastAsia" w:asciiTheme="minorHAnsi" w:hAnsiTheme="minorHAnsi" w:eastAsiaTheme="majorEastAsia" w:cstheme="minorHAnsi"/>
        <w:b/>
        <w:kern w:val="0"/>
        <w:sz w:val="32"/>
        <w:szCs w:val="21"/>
      </w:rPr>
      <w:drawing>
        <wp:anchor distT="0" distB="0" distL="114300" distR="114300" simplePos="0" relativeHeight="251661312" behindDoc="0" locked="0" layoutInCell="1" allowOverlap="1">
          <wp:simplePos x="0" y="0"/>
          <wp:positionH relativeFrom="column">
            <wp:posOffset>4464050</wp:posOffset>
          </wp:positionH>
          <wp:positionV relativeFrom="paragraph">
            <wp:posOffset>62230</wp:posOffset>
          </wp:positionV>
          <wp:extent cx="857885" cy="299720"/>
          <wp:effectExtent l="0" t="0" r="0" b="5080"/>
          <wp:wrapSquare wrapText="bothSides"/>
          <wp:docPr id="748922543" name="图片 74892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22543" name="图片 74892254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7885" cy="29972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2C7BB1"/>
    <w:multiLevelType w:val="singleLevel"/>
    <w:tmpl w:val="322C7BB1"/>
    <w:lvl w:ilvl="0" w:tentative="0">
      <w:start w:val="1"/>
      <w:numFmt w:val="decimal"/>
      <w:suff w:val="space"/>
      <w:lvlText w:val="%1."/>
      <w:lvlJc w:val="left"/>
    </w:lvl>
  </w:abstractNum>
  <w:abstractNum w:abstractNumId="1">
    <w:nsid w:val="61B36ACD"/>
    <w:multiLevelType w:val="multilevel"/>
    <w:tmpl w:val="61B36ACD"/>
    <w:lvl w:ilvl="0" w:tentative="0">
      <w:start w:val="1"/>
      <w:numFmt w:val="decimal"/>
      <w:lvlText w:val="%1）"/>
      <w:lvlJc w:val="left"/>
      <w:pPr>
        <w:ind w:left="570" w:hanging="360"/>
      </w:pPr>
      <w:rPr>
        <w:rFonts w:hint="default"/>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2">
    <w:nsid w:val="6A4D6594"/>
    <w:multiLevelType w:val="multilevel"/>
    <w:tmpl w:val="6A4D6594"/>
    <w:lvl w:ilvl="0" w:tentative="0">
      <w:start w:val="1"/>
      <w:numFmt w:val="bullet"/>
      <w:lvlText w:val=""/>
      <w:lvlJc w:val="left"/>
      <w:pPr>
        <w:ind w:left="860" w:hanging="440"/>
      </w:pPr>
      <w:rPr>
        <w:rFonts w:hint="default" w:ascii="Wingdings" w:hAnsi="Wingding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6B2C2E3A"/>
    <w:multiLevelType w:val="singleLevel"/>
    <w:tmpl w:val="6B2C2E3A"/>
    <w:lvl w:ilvl="0" w:tentative="0">
      <w:start w:val="1"/>
      <w:numFmt w:val="bullet"/>
      <w:lvlText w:val=""/>
      <w:lvlJc w:val="left"/>
      <w:pPr>
        <w:ind w:left="420" w:hanging="420"/>
      </w:pPr>
      <w:rPr>
        <w:rFonts w:hint="default" w:ascii="Wingdings" w:hAnsi="Wingdings"/>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3YmEyYWI5ZDlhODE0MmRmOWU3M2JjYTllZWE4YWUifQ=="/>
  </w:docVars>
  <w:rsids>
    <w:rsidRoot w:val="00500A8F"/>
    <w:rsid w:val="000009DD"/>
    <w:rsid w:val="000023E0"/>
    <w:rsid w:val="00002A7B"/>
    <w:rsid w:val="000035D7"/>
    <w:rsid w:val="00003F3F"/>
    <w:rsid w:val="00005020"/>
    <w:rsid w:val="00005104"/>
    <w:rsid w:val="00006611"/>
    <w:rsid w:val="00006712"/>
    <w:rsid w:val="000077A9"/>
    <w:rsid w:val="00010F31"/>
    <w:rsid w:val="000117F3"/>
    <w:rsid w:val="000169DD"/>
    <w:rsid w:val="0001734D"/>
    <w:rsid w:val="000179B2"/>
    <w:rsid w:val="00022AFD"/>
    <w:rsid w:val="000230BD"/>
    <w:rsid w:val="00023476"/>
    <w:rsid w:val="000236D2"/>
    <w:rsid w:val="00024C64"/>
    <w:rsid w:val="00025206"/>
    <w:rsid w:val="0002660C"/>
    <w:rsid w:val="00026847"/>
    <w:rsid w:val="0003068E"/>
    <w:rsid w:val="00030A02"/>
    <w:rsid w:val="00031403"/>
    <w:rsid w:val="000317CD"/>
    <w:rsid w:val="00034A12"/>
    <w:rsid w:val="0003562C"/>
    <w:rsid w:val="000359F6"/>
    <w:rsid w:val="000362BD"/>
    <w:rsid w:val="0003777C"/>
    <w:rsid w:val="00040016"/>
    <w:rsid w:val="000402B0"/>
    <w:rsid w:val="00041148"/>
    <w:rsid w:val="00041BDA"/>
    <w:rsid w:val="00042383"/>
    <w:rsid w:val="000437C9"/>
    <w:rsid w:val="00044B87"/>
    <w:rsid w:val="00046229"/>
    <w:rsid w:val="00047F2F"/>
    <w:rsid w:val="000519A2"/>
    <w:rsid w:val="00051A3D"/>
    <w:rsid w:val="0005389A"/>
    <w:rsid w:val="00055351"/>
    <w:rsid w:val="0005696F"/>
    <w:rsid w:val="00057B50"/>
    <w:rsid w:val="00060047"/>
    <w:rsid w:val="000609F6"/>
    <w:rsid w:val="0006181E"/>
    <w:rsid w:val="00064671"/>
    <w:rsid w:val="00065242"/>
    <w:rsid w:val="00066BB4"/>
    <w:rsid w:val="00066CD0"/>
    <w:rsid w:val="00067F17"/>
    <w:rsid w:val="0007180E"/>
    <w:rsid w:val="000718AB"/>
    <w:rsid w:val="00071FD0"/>
    <w:rsid w:val="00072B90"/>
    <w:rsid w:val="00074F99"/>
    <w:rsid w:val="00077B35"/>
    <w:rsid w:val="0008167D"/>
    <w:rsid w:val="000820F9"/>
    <w:rsid w:val="000840CC"/>
    <w:rsid w:val="000858E7"/>
    <w:rsid w:val="00091C7E"/>
    <w:rsid w:val="0009206E"/>
    <w:rsid w:val="00094D41"/>
    <w:rsid w:val="000953D3"/>
    <w:rsid w:val="000954F4"/>
    <w:rsid w:val="00096ECD"/>
    <w:rsid w:val="000A081D"/>
    <w:rsid w:val="000A0A86"/>
    <w:rsid w:val="000A2A22"/>
    <w:rsid w:val="000A3961"/>
    <w:rsid w:val="000A4030"/>
    <w:rsid w:val="000A5251"/>
    <w:rsid w:val="000B1A29"/>
    <w:rsid w:val="000B3218"/>
    <w:rsid w:val="000B3292"/>
    <w:rsid w:val="000B346F"/>
    <w:rsid w:val="000B3A73"/>
    <w:rsid w:val="000B4F6B"/>
    <w:rsid w:val="000B621C"/>
    <w:rsid w:val="000B70CB"/>
    <w:rsid w:val="000C2F7C"/>
    <w:rsid w:val="000C3F5B"/>
    <w:rsid w:val="000C4E56"/>
    <w:rsid w:val="000C5C18"/>
    <w:rsid w:val="000C7F9A"/>
    <w:rsid w:val="000D1308"/>
    <w:rsid w:val="000D4BC5"/>
    <w:rsid w:val="000D5021"/>
    <w:rsid w:val="000D6861"/>
    <w:rsid w:val="000E1209"/>
    <w:rsid w:val="000E1EBC"/>
    <w:rsid w:val="000E71FC"/>
    <w:rsid w:val="000F168E"/>
    <w:rsid w:val="000F46D4"/>
    <w:rsid w:val="000F6E7C"/>
    <w:rsid w:val="00100FFB"/>
    <w:rsid w:val="001013E1"/>
    <w:rsid w:val="0010196F"/>
    <w:rsid w:val="0010291B"/>
    <w:rsid w:val="00104F18"/>
    <w:rsid w:val="001051AF"/>
    <w:rsid w:val="00106BA3"/>
    <w:rsid w:val="00107CB6"/>
    <w:rsid w:val="00110B1F"/>
    <w:rsid w:val="00110EDA"/>
    <w:rsid w:val="0011231F"/>
    <w:rsid w:val="00112EFC"/>
    <w:rsid w:val="001131EA"/>
    <w:rsid w:val="00114C23"/>
    <w:rsid w:val="00116EF3"/>
    <w:rsid w:val="00116F8D"/>
    <w:rsid w:val="001202FC"/>
    <w:rsid w:val="00120A5E"/>
    <w:rsid w:val="00120BC0"/>
    <w:rsid w:val="0012340B"/>
    <w:rsid w:val="001241E8"/>
    <w:rsid w:val="0012488E"/>
    <w:rsid w:val="00124B0D"/>
    <w:rsid w:val="00125024"/>
    <w:rsid w:val="00125DC2"/>
    <w:rsid w:val="001262F3"/>
    <w:rsid w:val="00127FE8"/>
    <w:rsid w:val="00130C2B"/>
    <w:rsid w:val="00131828"/>
    <w:rsid w:val="00131D30"/>
    <w:rsid w:val="00134011"/>
    <w:rsid w:val="00135325"/>
    <w:rsid w:val="00135BE5"/>
    <w:rsid w:val="00135F93"/>
    <w:rsid w:val="001370FA"/>
    <w:rsid w:val="001373D5"/>
    <w:rsid w:val="00137744"/>
    <w:rsid w:val="00140792"/>
    <w:rsid w:val="00140A44"/>
    <w:rsid w:val="00143294"/>
    <w:rsid w:val="001438F0"/>
    <w:rsid w:val="001439DE"/>
    <w:rsid w:val="00144745"/>
    <w:rsid w:val="00146AB9"/>
    <w:rsid w:val="00146CB1"/>
    <w:rsid w:val="00152834"/>
    <w:rsid w:val="001535A1"/>
    <w:rsid w:val="00153DF4"/>
    <w:rsid w:val="00155FCC"/>
    <w:rsid w:val="0015773D"/>
    <w:rsid w:val="00160616"/>
    <w:rsid w:val="001621FC"/>
    <w:rsid w:val="00163A34"/>
    <w:rsid w:val="00165694"/>
    <w:rsid w:val="00167799"/>
    <w:rsid w:val="00170451"/>
    <w:rsid w:val="00170750"/>
    <w:rsid w:val="0017244A"/>
    <w:rsid w:val="001738F0"/>
    <w:rsid w:val="0017393D"/>
    <w:rsid w:val="00173AC0"/>
    <w:rsid w:val="00176C6B"/>
    <w:rsid w:val="00176E73"/>
    <w:rsid w:val="00176F21"/>
    <w:rsid w:val="0018033F"/>
    <w:rsid w:val="00180AB5"/>
    <w:rsid w:val="00182126"/>
    <w:rsid w:val="00182AE1"/>
    <w:rsid w:val="00182E04"/>
    <w:rsid w:val="001834A2"/>
    <w:rsid w:val="0018354F"/>
    <w:rsid w:val="00185175"/>
    <w:rsid w:val="00186190"/>
    <w:rsid w:val="00190118"/>
    <w:rsid w:val="00192C0F"/>
    <w:rsid w:val="0019459B"/>
    <w:rsid w:val="00194D07"/>
    <w:rsid w:val="001A0C7A"/>
    <w:rsid w:val="001A0F42"/>
    <w:rsid w:val="001A281F"/>
    <w:rsid w:val="001A35AD"/>
    <w:rsid w:val="001A4366"/>
    <w:rsid w:val="001A7D56"/>
    <w:rsid w:val="001B0D76"/>
    <w:rsid w:val="001B1730"/>
    <w:rsid w:val="001B1E96"/>
    <w:rsid w:val="001B4033"/>
    <w:rsid w:val="001B74D6"/>
    <w:rsid w:val="001C1A51"/>
    <w:rsid w:val="001C2146"/>
    <w:rsid w:val="001C3E35"/>
    <w:rsid w:val="001C3F55"/>
    <w:rsid w:val="001C6985"/>
    <w:rsid w:val="001D01C6"/>
    <w:rsid w:val="001D060E"/>
    <w:rsid w:val="001D3619"/>
    <w:rsid w:val="001D4042"/>
    <w:rsid w:val="001D458C"/>
    <w:rsid w:val="001D4EF4"/>
    <w:rsid w:val="001D5D4C"/>
    <w:rsid w:val="001D7E10"/>
    <w:rsid w:val="001E27A9"/>
    <w:rsid w:val="001E2998"/>
    <w:rsid w:val="001E31D7"/>
    <w:rsid w:val="001E3F63"/>
    <w:rsid w:val="001E4B86"/>
    <w:rsid w:val="001E4E86"/>
    <w:rsid w:val="001E5494"/>
    <w:rsid w:val="001E5D98"/>
    <w:rsid w:val="001E5F6F"/>
    <w:rsid w:val="001F1FCF"/>
    <w:rsid w:val="001F4EEE"/>
    <w:rsid w:val="001F5524"/>
    <w:rsid w:val="001F67D2"/>
    <w:rsid w:val="0020134F"/>
    <w:rsid w:val="00201963"/>
    <w:rsid w:val="00202030"/>
    <w:rsid w:val="00203BFF"/>
    <w:rsid w:val="00205BB8"/>
    <w:rsid w:val="00205F7F"/>
    <w:rsid w:val="00206BDC"/>
    <w:rsid w:val="002133F2"/>
    <w:rsid w:val="00216A64"/>
    <w:rsid w:val="0021711E"/>
    <w:rsid w:val="00217D8E"/>
    <w:rsid w:val="00217F17"/>
    <w:rsid w:val="002202A8"/>
    <w:rsid w:val="00220AE0"/>
    <w:rsid w:val="00220E2D"/>
    <w:rsid w:val="002211FB"/>
    <w:rsid w:val="0022214B"/>
    <w:rsid w:val="002274D9"/>
    <w:rsid w:val="00232BD5"/>
    <w:rsid w:val="00233816"/>
    <w:rsid w:val="00234028"/>
    <w:rsid w:val="0023684E"/>
    <w:rsid w:val="00237A96"/>
    <w:rsid w:val="0024009B"/>
    <w:rsid w:val="00240E4E"/>
    <w:rsid w:val="002416FF"/>
    <w:rsid w:val="002428D9"/>
    <w:rsid w:val="002441C6"/>
    <w:rsid w:val="002441EF"/>
    <w:rsid w:val="002449A1"/>
    <w:rsid w:val="00251642"/>
    <w:rsid w:val="00254207"/>
    <w:rsid w:val="00254A09"/>
    <w:rsid w:val="00255140"/>
    <w:rsid w:val="002605D6"/>
    <w:rsid w:val="00261406"/>
    <w:rsid w:val="00261C11"/>
    <w:rsid w:val="00265E13"/>
    <w:rsid w:val="00266B62"/>
    <w:rsid w:val="00266D3D"/>
    <w:rsid w:val="0026735A"/>
    <w:rsid w:val="002679B3"/>
    <w:rsid w:val="00271BCB"/>
    <w:rsid w:val="00274A34"/>
    <w:rsid w:val="00275270"/>
    <w:rsid w:val="0028056A"/>
    <w:rsid w:val="00280A41"/>
    <w:rsid w:val="00282CCF"/>
    <w:rsid w:val="0028529C"/>
    <w:rsid w:val="002852EE"/>
    <w:rsid w:val="00286224"/>
    <w:rsid w:val="00287E76"/>
    <w:rsid w:val="002906DF"/>
    <w:rsid w:val="0029179F"/>
    <w:rsid w:val="002917EC"/>
    <w:rsid w:val="00291D87"/>
    <w:rsid w:val="00292059"/>
    <w:rsid w:val="00292326"/>
    <w:rsid w:val="00295240"/>
    <w:rsid w:val="00295361"/>
    <w:rsid w:val="002954BF"/>
    <w:rsid w:val="00295B4F"/>
    <w:rsid w:val="00296088"/>
    <w:rsid w:val="00296348"/>
    <w:rsid w:val="002963C8"/>
    <w:rsid w:val="00296493"/>
    <w:rsid w:val="00297E1A"/>
    <w:rsid w:val="002A32D9"/>
    <w:rsid w:val="002A3386"/>
    <w:rsid w:val="002A33B3"/>
    <w:rsid w:val="002A3816"/>
    <w:rsid w:val="002A3BE0"/>
    <w:rsid w:val="002A402F"/>
    <w:rsid w:val="002A4B74"/>
    <w:rsid w:val="002A6E42"/>
    <w:rsid w:val="002B0938"/>
    <w:rsid w:val="002B1A87"/>
    <w:rsid w:val="002B3835"/>
    <w:rsid w:val="002B3D56"/>
    <w:rsid w:val="002B5E23"/>
    <w:rsid w:val="002B61B2"/>
    <w:rsid w:val="002B61DD"/>
    <w:rsid w:val="002B7076"/>
    <w:rsid w:val="002B7158"/>
    <w:rsid w:val="002C2028"/>
    <w:rsid w:val="002C229B"/>
    <w:rsid w:val="002C27D4"/>
    <w:rsid w:val="002C2F24"/>
    <w:rsid w:val="002C3134"/>
    <w:rsid w:val="002C3B5D"/>
    <w:rsid w:val="002C42A4"/>
    <w:rsid w:val="002C612F"/>
    <w:rsid w:val="002C6AEB"/>
    <w:rsid w:val="002C722D"/>
    <w:rsid w:val="002D04D0"/>
    <w:rsid w:val="002D05E6"/>
    <w:rsid w:val="002D0DAC"/>
    <w:rsid w:val="002D1749"/>
    <w:rsid w:val="002D76B2"/>
    <w:rsid w:val="002D7B20"/>
    <w:rsid w:val="002E00E8"/>
    <w:rsid w:val="002E08B9"/>
    <w:rsid w:val="002E0BA0"/>
    <w:rsid w:val="002E1476"/>
    <w:rsid w:val="002E3299"/>
    <w:rsid w:val="002E4985"/>
    <w:rsid w:val="002E5752"/>
    <w:rsid w:val="002E64CC"/>
    <w:rsid w:val="002E67C3"/>
    <w:rsid w:val="002F1A53"/>
    <w:rsid w:val="002F1D30"/>
    <w:rsid w:val="002F3568"/>
    <w:rsid w:val="002F5EE9"/>
    <w:rsid w:val="002F7010"/>
    <w:rsid w:val="002F7AB9"/>
    <w:rsid w:val="003013CE"/>
    <w:rsid w:val="0030157A"/>
    <w:rsid w:val="0030164C"/>
    <w:rsid w:val="00302995"/>
    <w:rsid w:val="00302A8B"/>
    <w:rsid w:val="00303D3D"/>
    <w:rsid w:val="003043A0"/>
    <w:rsid w:val="003047BA"/>
    <w:rsid w:val="00307FD4"/>
    <w:rsid w:val="00313A58"/>
    <w:rsid w:val="0031712B"/>
    <w:rsid w:val="0032092A"/>
    <w:rsid w:val="00321528"/>
    <w:rsid w:val="00321717"/>
    <w:rsid w:val="00321D5F"/>
    <w:rsid w:val="0032313B"/>
    <w:rsid w:val="00330A2B"/>
    <w:rsid w:val="00330EF0"/>
    <w:rsid w:val="00331197"/>
    <w:rsid w:val="00333C15"/>
    <w:rsid w:val="00334300"/>
    <w:rsid w:val="00334EC1"/>
    <w:rsid w:val="00336487"/>
    <w:rsid w:val="00337F8A"/>
    <w:rsid w:val="00342D9D"/>
    <w:rsid w:val="00342E7E"/>
    <w:rsid w:val="00345534"/>
    <w:rsid w:val="00345B21"/>
    <w:rsid w:val="0034773F"/>
    <w:rsid w:val="0035066E"/>
    <w:rsid w:val="003508E4"/>
    <w:rsid w:val="003518A8"/>
    <w:rsid w:val="00352A1D"/>
    <w:rsid w:val="00353816"/>
    <w:rsid w:val="00355979"/>
    <w:rsid w:val="00357060"/>
    <w:rsid w:val="003574A4"/>
    <w:rsid w:val="00361CCF"/>
    <w:rsid w:val="00364A0C"/>
    <w:rsid w:val="003652E1"/>
    <w:rsid w:val="00367D48"/>
    <w:rsid w:val="003701E2"/>
    <w:rsid w:val="003738EA"/>
    <w:rsid w:val="00374E00"/>
    <w:rsid w:val="00375491"/>
    <w:rsid w:val="00381997"/>
    <w:rsid w:val="00381D67"/>
    <w:rsid w:val="00381E2C"/>
    <w:rsid w:val="003822A8"/>
    <w:rsid w:val="00383DCC"/>
    <w:rsid w:val="00386A4E"/>
    <w:rsid w:val="00386C51"/>
    <w:rsid w:val="00387362"/>
    <w:rsid w:val="00390C9A"/>
    <w:rsid w:val="00390FCA"/>
    <w:rsid w:val="00394758"/>
    <w:rsid w:val="00394A95"/>
    <w:rsid w:val="00396306"/>
    <w:rsid w:val="00397742"/>
    <w:rsid w:val="00397F5A"/>
    <w:rsid w:val="003A350F"/>
    <w:rsid w:val="003A6BB9"/>
    <w:rsid w:val="003B4151"/>
    <w:rsid w:val="003B4DD0"/>
    <w:rsid w:val="003B5A83"/>
    <w:rsid w:val="003B669C"/>
    <w:rsid w:val="003B786E"/>
    <w:rsid w:val="003C30F6"/>
    <w:rsid w:val="003C6EF7"/>
    <w:rsid w:val="003D0F7B"/>
    <w:rsid w:val="003D0FE9"/>
    <w:rsid w:val="003D13F7"/>
    <w:rsid w:val="003D21EE"/>
    <w:rsid w:val="003D2BCE"/>
    <w:rsid w:val="003D4037"/>
    <w:rsid w:val="003D4529"/>
    <w:rsid w:val="003D4B46"/>
    <w:rsid w:val="003D5531"/>
    <w:rsid w:val="003D5997"/>
    <w:rsid w:val="003D5F48"/>
    <w:rsid w:val="003D7B86"/>
    <w:rsid w:val="003E01B3"/>
    <w:rsid w:val="003E3199"/>
    <w:rsid w:val="003E3788"/>
    <w:rsid w:val="003E5344"/>
    <w:rsid w:val="003E5A15"/>
    <w:rsid w:val="003E7DA0"/>
    <w:rsid w:val="003F050A"/>
    <w:rsid w:val="003F059B"/>
    <w:rsid w:val="003F16A0"/>
    <w:rsid w:val="003F4097"/>
    <w:rsid w:val="003F40BE"/>
    <w:rsid w:val="003F50D1"/>
    <w:rsid w:val="003F5D96"/>
    <w:rsid w:val="003F5F88"/>
    <w:rsid w:val="003F6B6A"/>
    <w:rsid w:val="00400373"/>
    <w:rsid w:val="00400926"/>
    <w:rsid w:val="00400A42"/>
    <w:rsid w:val="00402B49"/>
    <w:rsid w:val="00404265"/>
    <w:rsid w:val="004100C9"/>
    <w:rsid w:val="0041117C"/>
    <w:rsid w:val="0041273F"/>
    <w:rsid w:val="00412B09"/>
    <w:rsid w:val="00412BFD"/>
    <w:rsid w:val="00415B77"/>
    <w:rsid w:val="00417FA0"/>
    <w:rsid w:val="0042204E"/>
    <w:rsid w:val="00424CD0"/>
    <w:rsid w:val="004260E9"/>
    <w:rsid w:val="00426325"/>
    <w:rsid w:val="00430B91"/>
    <w:rsid w:val="004330A9"/>
    <w:rsid w:val="00436279"/>
    <w:rsid w:val="00437A33"/>
    <w:rsid w:val="00440C9F"/>
    <w:rsid w:val="00443C5D"/>
    <w:rsid w:val="004469A3"/>
    <w:rsid w:val="00450CD8"/>
    <w:rsid w:val="0045270B"/>
    <w:rsid w:val="00453BDC"/>
    <w:rsid w:val="00454C45"/>
    <w:rsid w:val="00455152"/>
    <w:rsid w:val="00455639"/>
    <w:rsid w:val="00455A84"/>
    <w:rsid w:val="00460AFB"/>
    <w:rsid w:val="00461EE8"/>
    <w:rsid w:val="004622B4"/>
    <w:rsid w:val="004624BE"/>
    <w:rsid w:val="00464F1E"/>
    <w:rsid w:val="00465A92"/>
    <w:rsid w:val="00467674"/>
    <w:rsid w:val="004679CE"/>
    <w:rsid w:val="00467FC8"/>
    <w:rsid w:val="00470270"/>
    <w:rsid w:val="00471CBF"/>
    <w:rsid w:val="00472046"/>
    <w:rsid w:val="00472160"/>
    <w:rsid w:val="004754C0"/>
    <w:rsid w:val="00480534"/>
    <w:rsid w:val="00481A67"/>
    <w:rsid w:val="00482433"/>
    <w:rsid w:val="0048452E"/>
    <w:rsid w:val="00484C1A"/>
    <w:rsid w:val="00485AD1"/>
    <w:rsid w:val="00485B14"/>
    <w:rsid w:val="00486AA5"/>
    <w:rsid w:val="004932B6"/>
    <w:rsid w:val="004938BC"/>
    <w:rsid w:val="00494015"/>
    <w:rsid w:val="004946E0"/>
    <w:rsid w:val="00495013"/>
    <w:rsid w:val="00495E6D"/>
    <w:rsid w:val="004A1602"/>
    <w:rsid w:val="004A51A8"/>
    <w:rsid w:val="004A6DB4"/>
    <w:rsid w:val="004B49EE"/>
    <w:rsid w:val="004B4D89"/>
    <w:rsid w:val="004B516E"/>
    <w:rsid w:val="004C0E26"/>
    <w:rsid w:val="004C15F5"/>
    <w:rsid w:val="004C343D"/>
    <w:rsid w:val="004C41A1"/>
    <w:rsid w:val="004C5277"/>
    <w:rsid w:val="004C6632"/>
    <w:rsid w:val="004C7286"/>
    <w:rsid w:val="004C7776"/>
    <w:rsid w:val="004C7906"/>
    <w:rsid w:val="004D154E"/>
    <w:rsid w:val="004D1A1B"/>
    <w:rsid w:val="004D2423"/>
    <w:rsid w:val="004D2891"/>
    <w:rsid w:val="004D3058"/>
    <w:rsid w:val="004D3884"/>
    <w:rsid w:val="004D5BBA"/>
    <w:rsid w:val="004D5D38"/>
    <w:rsid w:val="004D6D52"/>
    <w:rsid w:val="004D6DE5"/>
    <w:rsid w:val="004D78ED"/>
    <w:rsid w:val="004D7E45"/>
    <w:rsid w:val="004E0748"/>
    <w:rsid w:val="004E10A9"/>
    <w:rsid w:val="004E5424"/>
    <w:rsid w:val="004E6298"/>
    <w:rsid w:val="004E728E"/>
    <w:rsid w:val="004E7CD7"/>
    <w:rsid w:val="004F0AAB"/>
    <w:rsid w:val="004F0E1F"/>
    <w:rsid w:val="004F743F"/>
    <w:rsid w:val="004F7C1B"/>
    <w:rsid w:val="00500A8F"/>
    <w:rsid w:val="00500DE1"/>
    <w:rsid w:val="005028D5"/>
    <w:rsid w:val="005036E1"/>
    <w:rsid w:val="005043E9"/>
    <w:rsid w:val="00504FF1"/>
    <w:rsid w:val="005059D7"/>
    <w:rsid w:val="005060F9"/>
    <w:rsid w:val="00506D07"/>
    <w:rsid w:val="00510EA5"/>
    <w:rsid w:val="0051106C"/>
    <w:rsid w:val="00512BAE"/>
    <w:rsid w:val="005143A6"/>
    <w:rsid w:val="00520C0E"/>
    <w:rsid w:val="00521924"/>
    <w:rsid w:val="00522EAE"/>
    <w:rsid w:val="00523C32"/>
    <w:rsid w:val="005250F2"/>
    <w:rsid w:val="00525703"/>
    <w:rsid w:val="00526036"/>
    <w:rsid w:val="005260BE"/>
    <w:rsid w:val="00527573"/>
    <w:rsid w:val="005326B5"/>
    <w:rsid w:val="005338E0"/>
    <w:rsid w:val="005339BB"/>
    <w:rsid w:val="00533E59"/>
    <w:rsid w:val="00536F45"/>
    <w:rsid w:val="00537EE6"/>
    <w:rsid w:val="00543ACC"/>
    <w:rsid w:val="005447E3"/>
    <w:rsid w:val="00546210"/>
    <w:rsid w:val="00546BCA"/>
    <w:rsid w:val="00547E75"/>
    <w:rsid w:val="00552CC6"/>
    <w:rsid w:val="00552E15"/>
    <w:rsid w:val="00554115"/>
    <w:rsid w:val="00554D5C"/>
    <w:rsid w:val="00555016"/>
    <w:rsid w:val="00555043"/>
    <w:rsid w:val="005559B9"/>
    <w:rsid w:val="00556212"/>
    <w:rsid w:val="005606AC"/>
    <w:rsid w:val="00563622"/>
    <w:rsid w:val="005643D6"/>
    <w:rsid w:val="00564CF6"/>
    <w:rsid w:val="0057138A"/>
    <w:rsid w:val="00571797"/>
    <w:rsid w:val="00571E8F"/>
    <w:rsid w:val="00572B6E"/>
    <w:rsid w:val="005730D7"/>
    <w:rsid w:val="005762B0"/>
    <w:rsid w:val="00580905"/>
    <w:rsid w:val="00582F2B"/>
    <w:rsid w:val="00584716"/>
    <w:rsid w:val="005849E3"/>
    <w:rsid w:val="00584E4F"/>
    <w:rsid w:val="00584E6C"/>
    <w:rsid w:val="005851B1"/>
    <w:rsid w:val="005868F6"/>
    <w:rsid w:val="00586D6C"/>
    <w:rsid w:val="00587D18"/>
    <w:rsid w:val="00593AC3"/>
    <w:rsid w:val="00596D1A"/>
    <w:rsid w:val="005A31F5"/>
    <w:rsid w:val="005A65C8"/>
    <w:rsid w:val="005B2A6E"/>
    <w:rsid w:val="005B5140"/>
    <w:rsid w:val="005B69C2"/>
    <w:rsid w:val="005B76C2"/>
    <w:rsid w:val="005C17B8"/>
    <w:rsid w:val="005C27A1"/>
    <w:rsid w:val="005C28B5"/>
    <w:rsid w:val="005C4BF2"/>
    <w:rsid w:val="005C50CA"/>
    <w:rsid w:val="005C67D4"/>
    <w:rsid w:val="005C7CC0"/>
    <w:rsid w:val="005D0683"/>
    <w:rsid w:val="005D25A5"/>
    <w:rsid w:val="005D474E"/>
    <w:rsid w:val="005D6F09"/>
    <w:rsid w:val="005E08BD"/>
    <w:rsid w:val="005E09B7"/>
    <w:rsid w:val="005E09FF"/>
    <w:rsid w:val="005E17F1"/>
    <w:rsid w:val="005E37A0"/>
    <w:rsid w:val="005E5A41"/>
    <w:rsid w:val="005E674A"/>
    <w:rsid w:val="005E6E17"/>
    <w:rsid w:val="005F0AD3"/>
    <w:rsid w:val="005F1A5E"/>
    <w:rsid w:val="005F5E75"/>
    <w:rsid w:val="005F6112"/>
    <w:rsid w:val="005F7037"/>
    <w:rsid w:val="006001D3"/>
    <w:rsid w:val="006007FC"/>
    <w:rsid w:val="00603B0A"/>
    <w:rsid w:val="00605CCA"/>
    <w:rsid w:val="00606AA2"/>
    <w:rsid w:val="00606C4F"/>
    <w:rsid w:val="0060716E"/>
    <w:rsid w:val="00610563"/>
    <w:rsid w:val="00610575"/>
    <w:rsid w:val="006107E7"/>
    <w:rsid w:val="006115BF"/>
    <w:rsid w:val="0061228A"/>
    <w:rsid w:val="006131C5"/>
    <w:rsid w:val="006139AA"/>
    <w:rsid w:val="006174B6"/>
    <w:rsid w:val="00617A76"/>
    <w:rsid w:val="00621516"/>
    <w:rsid w:val="00621ED0"/>
    <w:rsid w:val="00622238"/>
    <w:rsid w:val="00624BB2"/>
    <w:rsid w:val="00632329"/>
    <w:rsid w:val="006363A0"/>
    <w:rsid w:val="00636A3C"/>
    <w:rsid w:val="00637359"/>
    <w:rsid w:val="00637AD1"/>
    <w:rsid w:val="006415DA"/>
    <w:rsid w:val="00641E56"/>
    <w:rsid w:val="00642F94"/>
    <w:rsid w:val="006452B3"/>
    <w:rsid w:val="00650088"/>
    <w:rsid w:val="00651075"/>
    <w:rsid w:val="006522C4"/>
    <w:rsid w:val="00657FCD"/>
    <w:rsid w:val="0066295A"/>
    <w:rsid w:val="00663035"/>
    <w:rsid w:val="00664055"/>
    <w:rsid w:val="00666CF9"/>
    <w:rsid w:val="00666DE7"/>
    <w:rsid w:val="00667160"/>
    <w:rsid w:val="00667457"/>
    <w:rsid w:val="00667A61"/>
    <w:rsid w:val="00670ED6"/>
    <w:rsid w:val="006740B4"/>
    <w:rsid w:val="00674D28"/>
    <w:rsid w:val="0067541F"/>
    <w:rsid w:val="00675E0D"/>
    <w:rsid w:val="00680286"/>
    <w:rsid w:val="00680FF7"/>
    <w:rsid w:val="00681291"/>
    <w:rsid w:val="006828C3"/>
    <w:rsid w:val="00683559"/>
    <w:rsid w:val="006858D5"/>
    <w:rsid w:val="006865BF"/>
    <w:rsid w:val="00687037"/>
    <w:rsid w:val="00687A66"/>
    <w:rsid w:val="00687DBB"/>
    <w:rsid w:val="006936A2"/>
    <w:rsid w:val="0069380F"/>
    <w:rsid w:val="00695677"/>
    <w:rsid w:val="0069571D"/>
    <w:rsid w:val="00696B1C"/>
    <w:rsid w:val="00697BEC"/>
    <w:rsid w:val="006A01E8"/>
    <w:rsid w:val="006A0D12"/>
    <w:rsid w:val="006A2B5F"/>
    <w:rsid w:val="006A2FF7"/>
    <w:rsid w:val="006A32C4"/>
    <w:rsid w:val="006A50C9"/>
    <w:rsid w:val="006A5EEB"/>
    <w:rsid w:val="006A6080"/>
    <w:rsid w:val="006A72B8"/>
    <w:rsid w:val="006A7C06"/>
    <w:rsid w:val="006A7FC8"/>
    <w:rsid w:val="006B05B8"/>
    <w:rsid w:val="006B11DF"/>
    <w:rsid w:val="006B28F7"/>
    <w:rsid w:val="006B32CB"/>
    <w:rsid w:val="006B36F4"/>
    <w:rsid w:val="006B576E"/>
    <w:rsid w:val="006B7C51"/>
    <w:rsid w:val="006B7C8E"/>
    <w:rsid w:val="006C16D2"/>
    <w:rsid w:val="006C1F05"/>
    <w:rsid w:val="006C2070"/>
    <w:rsid w:val="006C20AA"/>
    <w:rsid w:val="006C40FF"/>
    <w:rsid w:val="006C4514"/>
    <w:rsid w:val="006C5E1D"/>
    <w:rsid w:val="006C7EC8"/>
    <w:rsid w:val="006D2841"/>
    <w:rsid w:val="006D3B1F"/>
    <w:rsid w:val="006D444C"/>
    <w:rsid w:val="006D5B15"/>
    <w:rsid w:val="006D642C"/>
    <w:rsid w:val="006E1C73"/>
    <w:rsid w:val="006E4D38"/>
    <w:rsid w:val="006F038D"/>
    <w:rsid w:val="006F33A5"/>
    <w:rsid w:val="006F43A0"/>
    <w:rsid w:val="006F4885"/>
    <w:rsid w:val="006F70F8"/>
    <w:rsid w:val="00700EA9"/>
    <w:rsid w:val="00702120"/>
    <w:rsid w:val="0070255A"/>
    <w:rsid w:val="00702CA7"/>
    <w:rsid w:val="00705986"/>
    <w:rsid w:val="00705BEF"/>
    <w:rsid w:val="00706179"/>
    <w:rsid w:val="00710884"/>
    <w:rsid w:val="0071139B"/>
    <w:rsid w:val="007113DD"/>
    <w:rsid w:val="0071143F"/>
    <w:rsid w:val="0071430B"/>
    <w:rsid w:val="00714E5A"/>
    <w:rsid w:val="00715471"/>
    <w:rsid w:val="00716750"/>
    <w:rsid w:val="00720659"/>
    <w:rsid w:val="0072201D"/>
    <w:rsid w:val="00722B12"/>
    <w:rsid w:val="00725891"/>
    <w:rsid w:val="00726857"/>
    <w:rsid w:val="00726D8F"/>
    <w:rsid w:val="00727B01"/>
    <w:rsid w:val="007313BF"/>
    <w:rsid w:val="007313FC"/>
    <w:rsid w:val="007328BD"/>
    <w:rsid w:val="00733050"/>
    <w:rsid w:val="00733292"/>
    <w:rsid w:val="007333E7"/>
    <w:rsid w:val="00734D73"/>
    <w:rsid w:val="00735A0C"/>
    <w:rsid w:val="00736663"/>
    <w:rsid w:val="0073670B"/>
    <w:rsid w:val="00740DD5"/>
    <w:rsid w:val="007413D4"/>
    <w:rsid w:val="007423FD"/>
    <w:rsid w:val="00743412"/>
    <w:rsid w:val="00750945"/>
    <w:rsid w:val="00753422"/>
    <w:rsid w:val="00760C7A"/>
    <w:rsid w:val="007619AD"/>
    <w:rsid w:val="00762330"/>
    <w:rsid w:val="007640E0"/>
    <w:rsid w:val="007652B1"/>
    <w:rsid w:val="00767A55"/>
    <w:rsid w:val="00770616"/>
    <w:rsid w:val="00770E19"/>
    <w:rsid w:val="00772B66"/>
    <w:rsid w:val="00772E22"/>
    <w:rsid w:val="00773605"/>
    <w:rsid w:val="00774257"/>
    <w:rsid w:val="00775505"/>
    <w:rsid w:val="00776AE1"/>
    <w:rsid w:val="00777630"/>
    <w:rsid w:val="007807CA"/>
    <w:rsid w:val="0078162F"/>
    <w:rsid w:val="0078377B"/>
    <w:rsid w:val="00783B2F"/>
    <w:rsid w:val="00785A68"/>
    <w:rsid w:val="00785C31"/>
    <w:rsid w:val="0079016E"/>
    <w:rsid w:val="00793A00"/>
    <w:rsid w:val="00795004"/>
    <w:rsid w:val="00796C00"/>
    <w:rsid w:val="007977EE"/>
    <w:rsid w:val="007A01B4"/>
    <w:rsid w:val="007A03BE"/>
    <w:rsid w:val="007A07E5"/>
    <w:rsid w:val="007A1A5F"/>
    <w:rsid w:val="007A2996"/>
    <w:rsid w:val="007A385D"/>
    <w:rsid w:val="007A3E79"/>
    <w:rsid w:val="007A6076"/>
    <w:rsid w:val="007A7362"/>
    <w:rsid w:val="007B177F"/>
    <w:rsid w:val="007B27C5"/>
    <w:rsid w:val="007B436B"/>
    <w:rsid w:val="007B5A17"/>
    <w:rsid w:val="007B67D1"/>
    <w:rsid w:val="007B7729"/>
    <w:rsid w:val="007B7D1E"/>
    <w:rsid w:val="007C2026"/>
    <w:rsid w:val="007C2153"/>
    <w:rsid w:val="007C348F"/>
    <w:rsid w:val="007C4809"/>
    <w:rsid w:val="007C5BAC"/>
    <w:rsid w:val="007C66DE"/>
    <w:rsid w:val="007C6F27"/>
    <w:rsid w:val="007D0350"/>
    <w:rsid w:val="007D0768"/>
    <w:rsid w:val="007D224F"/>
    <w:rsid w:val="007D2FE4"/>
    <w:rsid w:val="007D355C"/>
    <w:rsid w:val="007D62F3"/>
    <w:rsid w:val="007D67D4"/>
    <w:rsid w:val="007D6EAD"/>
    <w:rsid w:val="007D74F5"/>
    <w:rsid w:val="007E0C8A"/>
    <w:rsid w:val="007E1475"/>
    <w:rsid w:val="007E1B9E"/>
    <w:rsid w:val="007E26F2"/>
    <w:rsid w:val="007E2951"/>
    <w:rsid w:val="007E32E8"/>
    <w:rsid w:val="007E3816"/>
    <w:rsid w:val="007E38EF"/>
    <w:rsid w:val="007E3ADE"/>
    <w:rsid w:val="007F04ED"/>
    <w:rsid w:val="007F342D"/>
    <w:rsid w:val="007F412D"/>
    <w:rsid w:val="007F5700"/>
    <w:rsid w:val="00802548"/>
    <w:rsid w:val="00802957"/>
    <w:rsid w:val="00802B0F"/>
    <w:rsid w:val="00807ACB"/>
    <w:rsid w:val="00814AA6"/>
    <w:rsid w:val="00814CE2"/>
    <w:rsid w:val="008153A8"/>
    <w:rsid w:val="00817410"/>
    <w:rsid w:val="00821DC7"/>
    <w:rsid w:val="00822EED"/>
    <w:rsid w:val="0082367C"/>
    <w:rsid w:val="008236C5"/>
    <w:rsid w:val="00826507"/>
    <w:rsid w:val="008267EE"/>
    <w:rsid w:val="0083050D"/>
    <w:rsid w:val="00831C27"/>
    <w:rsid w:val="00832E9B"/>
    <w:rsid w:val="008365A8"/>
    <w:rsid w:val="008376D1"/>
    <w:rsid w:val="00837952"/>
    <w:rsid w:val="008432ED"/>
    <w:rsid w:val="00843F7D"/>
    <w:rsid w:val="008450F3"/>
    <w:rsid w:val="00845245"/>
    <w:rsid w:val="00851871"/>
    <w:rsid w:val="00853833"/>
    <w:rsid w:val="00854539"/>
    <w:rsid w:val="0085797E"/>
    <w:rsid w:val="00860271"/>
    <w:rsid w:val="00860C8D"/>
    <w:rsid w:val="0086200F"/>
    <w:rsid w:val="0086227D"/>
    <w:rsid w:val="00863FEE"/>
    <w:rsid w:val="008653E0"/>
    <w:rsid w:val="00866BD2"/>
    <w:rsid w:val="008708D3"/>
    <w:rsid w:val="00870D6A"/>
    <w:rsid w:val="0087133B"/>
    <w:rsid w:val="00872100"/>
    <w:rsid w:val="00872523"/>
    <w:rsid w:val="008733D7"/>
    <w:rsid w:val="0087378E"/>
    <w:rsid w:val="008768A7"/>
    <w:rsid w:val="00876D09"/>
    <w:rsid w:val="00876DA7"/>
    <w:rsid w:val="00876DEE"/>
    <w:rsid w:val="008775A8"/>
    <w:rsid w:val="0088020B"/>
    <w:rsid w:val="00880DEB"/>
    <w:rsid w:val="0088113C"/>
    <w:rsid w:val="00881539"/>
    <w:rsid w:val="00881CA9"/>
    <w:rsid w:val="0088363F"/>
    <w:rsid w:val="0088500C"/>
    <w:rsid w:val="00887346"/>
    <w:rsid w:val="0089014A"/>
    <w:rsid w:val="008902CF"/>
    <w:rsid w:val="008926E6"/>
    <w:rsid w:val="00894757"/>
    <w:rsid w:val="008966E9"/>
    <w:rsid w:val="008B13D8"/>
    <w:rsid w:val="008B18CD"/>
    <w:rsid w:val="008B1A08"/>
    <w:rsid w:val="008B230C"/>
    <w:rsid w:val="008B4949"/>
    <w:rsid w:val="008B4A3B"/>
    <w:rsid w:val="008B56E5"/>
    <w:rsid w:val="008B631B"/>
    <w:rsid w:val="008B7215"/>
    <w:rsid w:val="008B79D1"/>
    <w:rsid w:val="008B79E9"/>
    <w:rsid w:val="008B7F03"/>
    <w:rsid w:val="008C1F77"/>
    <w:rsid w:val="008C4B49"/>
    <w:rsid w:val="008C4D57"/>
    <w:rsid w:val="008C6BE3"/>
    <w:rsid w:val="008D08DA"/>
    <w:rsid w:val="008D2F1C"/>
    <w:rsid w:val="008D3CFE"/>
    <w:rsid w:val="008D557E"/>
    <w:rsid w:val="008D55B7"/>
    <w:rsid w:val="008D5E6C"/>
    <w:rsid w:val="008D5FF3"/>
    <w:rsid w:val="008D7B67"/>
    <w:rsid w:val="008D7F16"/>
    <w:rsid w:val="008E2F80"/>
    <w:rsid w:val="008E4534"/>
    <w:rsid w:val="008E54DB"/>
    <w:rsid w:val="008F1045"/>
    <w:rsid w:val="008F1268"/>
    <w:rsid w:val="008F1FD1"/>
    <w:rsid w:val="008F6298"/>
    <w:rsid w:val="009018E4"/>
    <w:rsid w:val="00903AB5"/>
    <w:rsid w:val="00903BED"/>
    <w:rsid w:val="00905613"/>
    <w:rsid w:val="0090562E"/>
    <w:rsid w:val="00905BF1"/>
    <w:rsid w:val="00907193"/>
    <w:rsid w:val="00907BE2"/>
    <w:rsid w:val="00913572"/>
    <w:rsid w:val="009140C4"/>
    <w:rsid w:val="0091436C"/>
    <w:rsid w:val="009171E7"/>
    <w:rsid w:val="00917A3B"/>
    <w:rsid w:val="0092087F"/>
    <w:rsid w:val="00920936"/>
    <w:rsid w:val="00922281"/>
    <w:rsid w:val="0092377F"/>
    <w:rsid w:val="00925809"/>
    <w:rsid w:val="00930B41"/>
    <w:rsid w:val="00930DF7"/>
    <w:rsid w:val="0093436B"/>
    <w:rsid w:val="00936821"/>
    <w:rsid w:val="00937800"/>
    <w:rsid w:val="009409B4"/>
    <w:rsid w:val="00940A3E"/>
    <w:rsid w:val="0094120B"/>
    <w:rsid w:val="0094276A"/>
    <w:rsid w:val="00942872"/>
    <w:rsid w:val="00942C75"/>
    <w:rsid w:val="00942E63"/>
    <w:rsid w:val="0094420D"/>
    <w:rsid w:val="00944525"/>
    <w:rsid w:val="00945327"/>
    <w:rsid w:val="009501C8"/>
    <w:rsid w:val="00951195"/>
    <w:rsid w:val="00952045"/>
    <w:rsid w:val="00952102"/>
    <w:rsid w:val="00952679"/>
    <w:rsid w:val="00952BA5"/>
    <w:rsid w:val="00953102"/>
    <w:rsid w:val="009531E1"/>
    <w:rsid w:val="009541BF"/>
    <w:rsid w:val="00954D69"/>
    <w:rsid w:val="009554FB"/>
    <w:rsid w:val="00957EEC"/>
    <w:rsid w:val="00961B5B"/>
    <w:rsid w:val="00961BAD"/>
    <w:rsid w:val="00963696"/>
    <w:rsid w:val="009642E6"/>
    <w:rsid w:val="009645E2"/>
    <w:rsid w:val="00965CCC"/>
    <w:rsid w:val="0097060A"/>
    <w:rsid w:val="00971C5C"/>
    <w:rsid w:val="00972BCD"/>
    <w:rsid w:val="0097304E"/>
    <w:rsid w:val="0097647D"/>
    <w:rsid w:val="00977374"/>
    <w:rsid w:val="009824FC"/>
    <w:rsid w:val="00982B3A"/>
    <w:rsid w:val="00983752"/>
    <w:rsid w:val="00983EF6"/>
    <w:rsid w:val="00983F97"/>
    <w:rsid w:val="00984237"/>
    <w:rsid w:val="00990496"/>
    <w:rsid w:val="00991F39"/>
    <w:rsid w:val="00992149"/>
    <w:rsid w:val="00994EDE"/>
    <w:rsid w:val="009959F3"/>
    <w:rsid w:val="00995FFE"/>
    <w:rsid w:val="009964B0"/>
    <w:rsid w:val="009A11C1"/>
    <w:rsid w:val="009A27F7"/>
    <w:rsid w:val="009A292D"/>
    <w:rsid w:val="009A4CAF"/>
    <w:rsid w:val="009A5C60"/>
    <w:rsid w:val="009A69B5"/>
    <w:rsid w:val="009B0D73"/>
    <w:rsid w:val="009B3167"/>
    <w:rsid w:val="009B3599"/>
    <w:rsid w:val="009B523C"/>
    <w:rsid w:val="009B6DCB"/>
    <w:rsid w:val="009B7CCB"/>
    <w:rsid w:val="009C020C"/>
    <w:rsid w:val="009C1FE2"/>
    <w:rsid w:val="009C25A0"/>
    <w:rsid w:val="009C44ED"/>
    <w:rsid w:val="009C5959"/>
    <w:rsid w:val="009C5D67"/>
    <w:rsid w:val="009C698C"/>
    <w:rsid w:val="009C7A2D"/>
    <w:rsid w:val="009C7CE4"/>
    <w:rsid w:val="009D4AC7"/>
    <w:rsid w:val="009D4F10"/>
    <w:rsid w:val="009D7778"/>
    <w:rsid w:val="009D7A66"/>
    <w:rsid w:val="009E18AF"/>
    <w:rsid w:val="009E1AEF"/>
    <w:rsid w:val="009E4A3B"/>
    <w:rsid w:val="009E5D88"/>
    <w:rsid w:val="009F0653"/>
    <w:rsid w:val="009F1411"/>
    <w:rsid w:val="009F1A53"/>
    <w:rsid w:val="009F1FC1"/>
    <w:rsid w:val="009F26F1"/>
    <w:rsid w:val="009F5A19"/>
    <w:rsid w:val="009F63DC"/>
    <w:rsid w:val="009F7FA6"/>
    <w:rsid w:val="009F7FCB"/>
    <w:rsid w:val="00A00182"/>
    <w:rsid w:val="00A008E0"/>
    <w:rsid w:val="00A00B17"/>
    <w:rsid w:val="00A03A45"/>
    <w:rsid w:val="00A07695"/>
    <w:rsid w:val="00A07DCE"/>
    <w:rsid w:val="00A10177"/>
    <w:rsid w:val="00A1042E"/>
    <w:rsid w:val="00A10667"/>
    <w:rsid w:val="00A12BD4"/>
    <w:rsid w:val="00A143AB"/>
    <w:rsid w:val="00A14608"/>
    <w:rsid w:val="00A155E5"/>
    <w:rsid w:val="00A1778E"/>
    <w:rsid w:val="00A1794D"/>
    <w:rsid w:val="00A207E1"/>
    <w:rsid w:val="00A2203C"/>
    <w:rsid w:val="00A220C6"/>
    <w:rsid w:val="00A2225A"/>
    <w:rsid w:val="00A2358C"/>
    <w:rsid w:val="00A23C33"/>
    <w:rsid w:val="00A259E9"/>
    <w:rsid w:val="00A264B6"/>
    <w:rsid w:val="00A2663A"/>
    <w:rsid w:val="00A30EB1"/>
    <w:rsid w:val="00A31C85"/>
    <w:rsid w:val="00A32B62"/>
    <w:rsid w:val="00A32C2E"/>
    <w:rsid w:val="00A33A9E"/>
    <w:rsid w:val="00A344D7"/>
    <w:rsid w:val="00A36888"/>
    <w:rsid w:val="00A446E7"/>
    <w:rsid w:val="00A47EDF"/>
    <w:rsid w:val="00A507FE"/>
    <w:rsid w:val="00A50BF4"/>
    <w:rsid w:val="00A522F5"/>
    <w:rsid w:val="00A5256B"/>
    <w:rsid w:val="00A56147"/>
    <w:rsid w:val="00A568B0"/>
    <w:rsid w:val="00A56D4A"/>
    <w:rsid w:val="00A57829"/>
    <w:rsid w:val="00A60310"/>
    <w:rsid w:val="00A60CE6"/>
    <w:rsid w:val="00A613D5"/>
    <w:rsid w:val="00A623DF"/>
    <w:rsid w:val="00A6333C"/>
    <w:rsid w:val="00A641EB"/>
    <w:rsid w:val="00A67B5E"/>
    <w:rsid w:val="00A71315"/>
    <w:rsid w:val="00A713D2"/>
    <w:rsid w:val="00A72E16"/>
    <w:rsid w:val="00A75A97"/>
    <w:rsid w:val="00A76003"/>
    <w:rsid w:val="00A76D78"/>
    <w:rsid w:val="00A80554"/>
    <w:rsid w:val="00A807AE"/>
    <w:rsid w:val="00A80C88"/>
    <w:rsid w:val="00A83140"/>
    <w:rsid w:val="00A8335E"/>
    <w:rsid w:val="00A83515"/>
    <w:rsid w:val="00A843DA"/>
    <w:rsid w:val="00A84830"/>
    <w:rsid w:val="00A86CDC"/>
    <w:rsid w:val="00A878D6"/>
    <w:rsid w:val="00A92090"/>
    <w:rsid w:val="00A9227A"/>
    <w:rsid w:val="00A9241D"/>
    <w:rsid w:val="00A92D51"/>
    <w:rsid w:val="00A94B72"/>
    <w:rsid w:val="00A95051"/>
    <w:rsid w:val="00A97C02"/>
    <w:rsid w:val="00AA1738"/>
    <w:rsid w:val="00AA2334"/>
    <w:rsid w:val="00AA28B9"/>
    <w:rsid w:val="00AA2D24"/>
    <w:rsid w:val="00AA4DC4"/>
    <w:rsid w:val="00AA7844"/>
    <w:rsid w:val="00AB05C6"/>
    <w:rsid w:val="00AB34B8"/>
    <w:rsid w:val="00AB3824"/>
    <w:rsid w:val="00AB5A23"/>
    <w:rsid w:val="00AB5ADA"/>
    <w:rsid w:val="00AB64BC"/>
    <w:rsid w:val="00AB66D7"/>
    <w:rsid w:val="00AB694F"/>
    <w:rsid w:val="00AC0C13"/>
    <w:rsid w:val="00AC0F2B"/>
    <w:rsid w:val="00AC32C6"/>
    <w:rsid w:val="00AC5E7B"/>
    <w:rsid w:val="00AC6F48"/>
    <w:rsid w:val="00AD08E8"/>
    <w:rsid w:val="00AD0EBD"/>
    <w:rsid w:val="00AD11F7"/>
    <w:rsid w:val="00AD37E5"/>
    <w:rsid w:val="00AD3CFD"/>
    <w:rsid w:val="00AD4C8C"/>
    <w:rsid w:val="00AD7BA1"/>
    <w:rsid w:val="00AE32F1"/>
    <w:rsid w:val="00AE5279"/>
    <w:rsid w:val="00AF1520"/>
    <w:rsid w:val="00AF5247"/>
    <w:rsid w:val="00AF6553"/>
    <w:rsid w:val="00AF65BA"/>
    <w:rsid w:val="00AF78C6"/>
    <w:rsid w:val="00AF7CB4"/>
    <w:rsid w:val="00B00961"/>
    <w:rsid w:val="00B00E63"/>
    <w:rsid w:val="00B0178E"/>
    <w:rsid w:val="00B01ADE"/>
    <w:rsid w:val="00B01F4F"/>
    <w:rsid w:val="00B02596"/>
    <w:rsid w:val="00B0332E"/>
    <w:rsid w:val="00B035E8"/>
    <w:rsid w:val="00B03F48"/>
    <w:rsid w:val="00B046E8"/>
    <w:rsid w:val="00B04E67"/>
    <w:rsid w:val="00B05811"/>
    <w:rsid w:val="00B07B2B"/>
    <w:rsid w:val="00B10009"/>
    <w:rsid w:val="00B12237"/>
    <w:rsid w:val="00B12F3C"/>
    <w:rsid w:val="00B13E39"/>
    <w:rsid w:val="00B1762B"/>
    <w:rsid w:val="00B22841"/>
    <w:rsid w:val="00B24FF7"/>
    <w:rsid w:val="00B2543C"/>
    <w:rsid w:val="00B25CB1"/>
    <w:rsid w:val="00B26192"/>
    <w:rsid w:val="00B262CD"/>
    <w:rsid w:val="00B30E2F"/>
    <w:rsid w:val="00B313F3"/>
    <w:rsid w:val="00B31824"/>
    <w:rsid w:val="00B3353F"/>
    <w:rsid w:val="00B352BB"/>
    <w:rsid w:val="00B407EC"/>
    <w:rsid w:val="00B40940"/>
    <w:rsid w:val="00B40A66"/>
    <w:rsid w:val="00B44FDB"/>
    <w:rsid w:val="00B50CF4"/>
    <w:rsid w:val="00B51C51"/>
    <w:rsid w:val="00B52D9F"/>
    <w:rsid w:val="00B55BC5"/>
    <w:rsid w:val="00B55C65"/>
    <w:rsid w:val="00B561C0"/>
    <w:rsid w:val="00B569BB"/>
    <w:rsid w:val="00B569F7"/>
    <w:rsid w:val="00B57B39"/>
    <w:rsid w:val="00B60E9C"/>
    <w:rsid w:val="00B63265"/>
    <w:rsid w:val="00B64B70"/>
    <w:rsid w:val="00B652FF"/>
    <w:rsid w:val="00B6632A"/>
    <w:rsid w:val="00B67C18"/>
    <w:rsid w:val="00B73756"/>
    <w:rsid w:val="00B74F9C"/>
    <w:rsid w:val="00B75D80"/>
    <w:rsid w:val="00B76A1E"/>
    <w:rsid w:val="00B801E0"/>
    <w:rsid w:val="00B803A1"/>
    <w:rsid w:val="00B8044E"/>
    <w:rsid w:val="00B83422"/>
    <w:rsid w:val="00B841C1"/>
    <w:rsid w:val="00B86083"/>
    <w:rsid w:val="00B8765A"/>
    <w:rsid w:val="00B94EB6"/>
    <w:rsid w:val="00B955B3"/>
    <w:rsid w:val="00BA15F6"/>
    <w:rsid w:val="00BA224C"/>
    <w:rsid w:val="00BA5348"/>
    <w:rsid w:val="00BA6E5B"/>
    <w:rsid w:val="00BB01F8"/>
    <w:rsid w:val="00BB0CAA"/>
    <w:rsid w:val="00BB0F66"/>
    <w:rsid w:val="00BB11A8"/>
    <w:rsid w:val="00BB2026"/>
    <w:rsid w:val="00BB231F"/>
    <w:rsid w:val="00BB783C"/>
    <w:rsid w:val="00BB7F1E"/>
    <w:rsid w:val="00BC2ABE"/>
    <w:rsid w:val="00BC3B43"/>
    <w:rsid w:val="00BC5535"/>
    <w:rsid w:val="00BD1D4B"/>
    <w:rsid w:val="00BD3A1E"/>
    <w:rsid w:val="00BD6D84"/>
    <w:rsid w:val="00BD7F29"/>
    <w:rsid w:val="00BE02A7"/>
    <w:rsid w:val="00BE26EF"/>
    <w:rsid w:val="00BE2788"/>
    <w:rsid w:val="00BE39C4"/>
    <w:rsid w:val="00BE539C"/>
    <w:rsid w:val="00BE6A4E"/>
    <w:rsid w:val="00BE6F4C"/>
    <w:rsid w:val="00BE78CF"/>
    <w:rsid w:val="00BE7E70"/>
    <w:rsid w:val="00BF460C"/>
    <w:rsid w:val="00BF4D57"/>
    <w:rsid w:val="00BF5AE2"/>
    <w:rsid w:val="00BF5F9C"/>
    <w:rsid w:val="00BF7781"/>
    <w:rsid w:val="00C02BDD"/>
    <w:rsid w:val="00C02F99"/>
    <w:rsid w:val="00C05A8C"/>
    <w:rsid w:val="00C05D8E"/>
    <w:rsid w:val="00C06B20"/>
    <w:rsid w:val="00C06CBE"/>
    <w:rsid w:val="00C11C1D"/>
    <w:rsid w:val="00C123C3"/>
    <w:rsid w:val="00C126DF"/>
    <w:rsid w:val="00C154CE"/>
    <w:rsid w:val="00C15DBB"/>
    <w:rsid w:val="00C17B85"/>
    <w:rsid w:val="00C17D89"/>
    <w:rsid w:val="00C20343"/>
    <w:rsid w:val="00C206D6"/>
    <w:rsid w:val="00C21C54"/>
    <w:rsid w:val="00C224CA"/>
    <w:rsid w:val="00C227C2"/>
    <w:rsid w:val="00C249A2"/>
    <w:rsid w:val="00C2794E"/>
    <w:rsid w:val="00C35690"/>
    <w:rsid w:val="00C372C0"/>
    <w:rsid w:val="00C43A5F"/>
    <w:rsid w:val="00C43BDE"/>
    <w:rsid w:val="00C444EA"/>
    <w:rsid w:val="00C44A75"/>
    <w:rsid w:val="00C44F99"/>
    <w:rsid w:val="00C50408"/>
    <w:rsid w:val="00C50DF8"/>
    <w:rsid w:val="00C5114A"/>
    <w:rsid w:val="00C5324F"/>
    <w:rsid w:val="00C549A3"/>
    <w:rsid w:val="00C55BB5"/>
    <w:rsid w:val="00C574B9"/>
    <w:rsid w:val="00C6065B"/>
    <w:rsid w:val="00C61DCC"/>
    <w:rsid w:val="00C61DE0"/>
    <w:rsid w:val="00C62C97"/>
    <w:rsid w:val="00C63475"/>
    <w:rsid w:val="00C63680"/>
    <w:rsid w:val="00C64953"/>
    <w:rsid w:val="00C649F7"/>
    <w:rsid w:val="00C65369"/>
    <w:rsid w:val="00C65396"/>
    <w:rsid w:val="00C65409"/>
    <w:rsid w:val="00C670F1"/>
    <w:rsid w:val="00C72F22"/>
    <w:rsid w:val="00C74097"/>
    <w:rsid w:val="00C745E3"/>
    <w:rsid w:val="00C7494D"/>
    <w:rsid w:val="00C75C2E"/>
    <w:rsid w:val="00C766EF"/>
    <w:rsid w:val="00C773FC"/>
    <w:rsid w:val="00C807AA"/>
    <w:rsid w:val="00C80EE6"/>
    <w:rsid w:val="00C817A7"/>
    <w:rsid w:val="00C82075"/>
    <w:rsid w:val="00C826EB"/>
    <w:rsid w:val="00C84B0E"/>
    <w:rsid w:val="00C861B2"/>
    <w:rsid w:val="00C8729D"/>
    <w:rsid w:val="00C920C0"/>
    <w:rsid w:val="00C92F7E"/>
    <w:rsid w:val="00C95565"/>
    <w:rsid w:val="00CA1578"/>
    <w:rsid w:val="00CA2A8B"/>
    <w:rsid w:val="00CA5DC8"/>
    <w:rsid w:val="00CA65E9"/>
    <w:rsid w:val="00CB1784"/>
    <w:rsid w:val="00CB26E8"/>
    <w:rsid w:val="00CB4339"/>
    <w:rsid w:val="00CB46C0"/>
    <w:rsid w:val="00CB67B9"/>
    <w:rsid w:val="00CB6A55"/>
    <w:rsid w:val="00CB7C2E"/>
    <w:rsid w:val="00CC06D4"/>
    <w:rsid w:val="00CC1890"/>
    <w:rsid w:val="00CC4709"/>
    <w:rsid w:val="00CC480B"/>
    <w:rsid w:val="00CC72C5"/>
    <w:rsid w:val="00CC7310"/>
    <w:rsid w:val="00CD056C"/>
    <w:rsid w:val="00CD332E"/>
    <w:rsid w:val="00CD41C2"/>
    <w:rsid w:val="00CD4647"/>
    <w:rsid w:val="00CD7484"/>
    <w:rsid w:val="00CE00F3"/>
    <w:rsid w:val="00CE03D4"/>
    <w:rsid w:val="00CE06FC"/>
    <w:rsid w:val="00CE201A"/>
    <w:rsid w:val="00CE4335"/>
    <w:rsid w:val="00CF1B87"/>
    <w:rsid w:val="00CF33CD"/>
    <w:rsid w:val="00CF7089"/>
    <w:rsid w:val="00CF71B8"/>
    <w:rsid w:val="00D03331"/>
    <w:rsid w:val="00D04501"/>
    <w:rsid w:val="00D04A33"/>
    <w:rsid w:val="00D05245"/>
    <w:rsid w:val="00D062FA"/>
    <w:rsid w:val="00D073EA"/>
    <w:rsid w:val="00D07456"/>
    <w:rsid w:val="00D07A87"/>
    <w:rsid w:val="00D110BB"/>
    <w:rsid w:val="00D11EF2"/>
    <w:rsid w:val="00D12776"/>
    <w:rsid w:val="00D12ABA"/>
    <w:rsid w:val="00D12D35"/>
    <w:rsid w:val="00D141AC"/>
    <w:rsid w:val="00D15C79"/>
    <w:rsid w:val="00D16BE4"/>
    <w:rsid w:val="00D17B24"/>
    <w:rsid w:val="00D205FA"/>
    <w:rsid w:val="00D2092D"/>
    <w:rsid w:val="00D20F4C"/>
    <w:rsid w:val="00D23951"/>
    <w:rsid w:val="00D26775"/>
    <w:rsid w:val="00D300A9"/>
    <w:rsid w:val="00D30EB1"/>
    <w:rsid w:val="00D31AFE"/>
    <w:rsid w:val="00D32A8A"/>
    <w:rsid w:val="00D33228"/>
    <w:rsid w:val="00D332D6"/>
    <w:rsid w:val="00D346FC"/>
    <w:rsid w:val="00D35161"/>
    <w:rsid w:val="00D351C9"/>
    <w:rsid w:val="00D35444"/>
    <w:rsid w:val="00D35A08"/>
    <w:rsid w:val="00D3691D"/>
    <w:rsid w:val="00D371C4"/>
    <w:rsid w:val="00D407AD"/>
    <w:rsid w:val="00D42657"/>
    <w:rsid w:val="00D471D1"/>
    <w:rsid w:val="00D47223"/>
    <w:rsid w:val="00D50239"/>
    <w:rsid w:val="00D50E81"/>
    <w:rsid w:val="00D523D1"/>
    <w:rsid w:val="00D577A0"/>
    <w:rsid w:val="00D60DB8"/>
    <w:rsid w:val="00D621CE"/>
    <w:rsid w:val="00D634D8"/>
    <w:rsid w:val="00D63C2D"/>
    <w:rsid w:val="00D646E5"/>
    <w:rsid w:val="00D651FF"/>
    <w:rsid w:val="00D66336"/>
    <w:rsid w:val="00D7008E"/>
    <w:rsid w:val="00D70197"/>
    <w:rsid w:val="00D70359"/>
    <w:rsid w:val="00D711C6"/>
    <w:rsid w:val="00D71C5E"/>
    <w:rsid w:val="00D71DEB"/>
    <w:rsid w:val="00D73882"/>
    <w:rsid w:val="00D738BC"/>
    <w:rsid w:val="00D754A6"/>
    <w:rsid w:val="00D7572D"/>
    <w:rsid w:val="00D7599B"/>
    <w:rsid w:val="00D77DBE"/>
    <w:rsid w:val="00D80609"/>
    <w:rsid w:val="00D82676"/>
    <w:rsid w:val="00D82BB6"/>
    <w:rsid w:val="00D84A3D"/>
    <w:rsid w:val="00D8593E"/>
    <w:rsid w:val="00D870EF"/>
    <w:rsid w:val="00D87BA3"/>
    <w:rsid w:val="00D91B95"/>
    <w:rsid w:val="00D933BC"/>
    <w:rsid w:val="00D93BEF"/>
    <w:rsid w:val="00D96CBF"/>
    <w:rsid w:val="00D97C3E"/>
    <w:rsid w:val="00DA100A"/>
    <w:rsid w:val="00DA1E75"/>
    <w:rsid w:val="00DA25AD"/>
    <w:rsid w:val="00DA3171"/>
    <w:rsid w:val="00DA681F"/>
    <w:rsid w:val="00DA73E5"/>
    <w:rsid w:val="00DB0090"/>
    <w:rsid w:val="00DB0CAE"/>
    <w:rsid w:val="00DB1679"/>
    <w:rsid w:val="00DB23C0"/>
    <w:rsid w:val="00DB324C"/>
    <w:rsid w:val="00DB4A6C"/>
    <w:rsid w:val="00DB7777"/>
    <w:rsid w:val="00DC11CB"/>
    <w:rsid w:val="00DC2652"/>
    <w:rsid w:val="00DC2F1C"/>
    <w:rsid w:val="00DC2F84"/>
    <w:rsid w:val="00DC3D22"/>
    <w:rsid w:val="00DC4BA2"/>
    <w:rsid w:val="00DC4D6D"/>
    <w:rsid w:val="00DC71BB"/>
    <w:rsid w:val="00DD038D"/>
    <w:rsid w:val="00DD1EF8"/>
    <w:rsid w:val="00DD475A"/>
    <w:rsid w:val="00DD4C8D"/>
    <w:rsid w:val="00DD689D"/>
    <w:rsid w:val="00DD7FB4"/>
    <w:rsid w:val="00DE45A1"/>
    <w:rsid w:val="00DF0567"/>
    <w:rsid w:val="00DF114C"/>
    <w:rsid w:val="00DF11F3"/>
    <w:rsid w:val="00DF1C7E"/>
    <w:rsid w:val="00DF2CF8"/>
    <w:rsid w:val="00DF3D2B"/>
    <w:rsid w:val="00DF3F16"/>
    <w:rsid w:val="00DF4AB0"/>
    <w:rsid w:val="00DF66EE"/>
    <w:rsid w:val="00DF7671"/>
    <w:rsid w:val="00E00371"/>
    <w:rsid w:val="00E07A31"/>
    <w:rsid w:val="00E07C58"/>
    <w:rsid w:val="00E1066C"/>
    <w:rsid w:val="00E13DD2"/>
    <w:rsid w:val="00E17211"/>
    <w:rsid w:val="00E17346"/>
    <w:rsid w:val="00E178D0"/>
    <w:rsid w:val="00E2219B"/>
    <w:rsid w:val="00E22461"/>
    <w:rsid w:val="00E23047"/>
    <w:rsid w:val="00E23270"/>
    <w:rsid w:val="00E23833"/>
    <w:rsid w:val="00E2596F"/>
    <w:rsid w:val="00E308DA"/>
    <w:rsid w:val="00E309FD"/>
    <w:rsid w:val="00E34DD0"/>
    <w:rsid w:val="00E36D2F"/>
    <w:rsid w:val="00E3771C"/>
    <w:rsid w:val="00E377A7"/>
    <w:rsid w:val="00E403D4"/>
    <w:rsid w:val="00E46B17"/>
    <w:rsid w:val="00E50150"/>
    <w:rsid w:val="00E5049F"/>
    <w:rsid w:val="00E5054E"/>
    <w:rsid w:val="00E51D05"/>
    <w:rsid w:val="00E52427"/>
    <w:rsid w:val="00E55A39"/>
    <w:rsid w:val="00E562E5"/>
    <w:rsid w:val="00E5662C"/>
    <w:rsid w:val="00E61308"/>
    <w:rsid w:val="00E61BDA"/>
    <w:rsid w:val="00E61E70"/>
    <w:rsid w:val="00E61EE5"/>
    <w:rsid w:val="00E62FD7"/>
    <w:rsid w:val="00E64653"/>
    <w:rsid w:val="00E67E38"/>
    <w:rsid w:val="00E70D88"/>
    <w:rsid w:val="00E730F4"/>
    <w:rsid w:val="00E7528B"/>
    <w:rsid w:val="00E76995"/>
    <w:rsid w:val="00E776D7"/>
    <w:rsid w:val="00E80643"/>
    <w:rsid w:val="00E80E43"/>
    <w:rsid w:val="00E817AB"/>
    <w:rsid w:val="00E8311C"/>
    <w:rsid w:val="00E85437"/>
    <w:rsid w:val="00E85545"/>
    <w:rsid w:val="00E85596"/>
    <w:rsid w:val="00E87A04"/>
    <w:rsid w:val="00E91F3D"/>
    <w:rsid w:val="00E922B4"/>
    <w:rsid w:val="00E92857"/>
    <w:rsid w:val="00E94534"/>
    <w:rsid w:val="00E948E5"/>
    <w:rsid w:val="00E97970"/>
    <w:rsid w:val="00EA4003"/>
    <w:rsid w:val="00EB0151"/>
    <w:rsid w:val="00EB1C63"/>
    <w:rsid w:val="00EB2B49"/>
    <w:rsid w:val="00EB2E66"/>
    <w:rsid w:val="00EB7ED2"/>
    <w:rsid w:val="00EC0049"/>
    <w:rsid w:val="00EC0926"/>
    <w:rsid w:val="00EC43C8"/>
    <w:rsid w:val="00EC44E3"/>
    <w:rsid w:val="00EC6520"/>
    <w:rsid w:val="00ED0484"/>
    <w:rsid w:val="00ED0C4B"/>
    <w:rsid w:val="00ED12D7"/>
    <w:rsid w:val="00ED1341"/>
    <w:rsid w:val="00ED1806"/>
    <w:rsid w:val="00ED2147"/>
    <w:rsid w:val="00ED296A"/>
    <w:rsid w:val="00ED3F02"/>
    <w:rsid w:val="00ED457C"/>
    <w:rsid w:val="00ED5FA1"/>
    <w:rsid w:val="00ED6FD0"/>
    <w:rsid w:val="00EE0B92"/>
    <w:rsid w:val="00EE0F0E"/>
    <w:rsid w:val="00EE19C9"/>
    <w:rsid w:val="00EE248B"/>
    <w:rsid w:val="00EE45C3"/>
    <w:rsid w:val="00EE68D2"/>
    <w:rsid w:val="00EF14B7"/>
    <w:rsid w:val="00EF1E43"/>
    <w:rsid w:val="00EF37E3"/>
    <w:rsid w:val="00EF44AD"/>
    <w:rsid w:val="00EF5FF4"/>
    <w:rsid w:val="00F014F8"/>
    <w:rsid w:val="00F03C15"/>
    <w:rsid w:val="00F05715"/>
    <w:rsid w:val="00F0647C"/>
    <w:rsid w:val="00F071B9"/>
    <w:rsid w:val="00F111EB"/>
    <w:rsid w:val="00F12272"/>
    <w:rsid w:val="00F128CF"/>
    <w:rsid w:val="00F128DE"/>
    <w:rsid w:val="00F13937"/>
    <w:rsid w:val="00F141F1"/>
    <w:rsid w:val="00F15AB6"/>
    <w:rsid w:val="00F17267"/>
    <w:rsid w:val="00F217FB"/>
    <w:rsid w:val="00F237B1"/>
    <w:rsid w:val="00F2468D"/>
    <w:rsid w:val="00F27587"/>
    <w:rsid w:val="00F307F9"/>
    <w:rsid w:val="00F3131F"/>
    <w:rsid w:val="00F31BE4"/>
    <w:rsid w:val="00F32538"/>
    <w:rsid w:val="00F34159"/>
    <w:rsid w:val="00F34A00"/>
    <w:rsid w:val="00F34CB0"/>
    <w:rsid w:val="00F34D93"/>
    <w:rsid w:val="00F36A1B"/>
    <w:rsid w:val="00F403B9"/>
    <w:rsid w:val="00F413B3"/>
    <w:rsid w:val="00F43D9A"/>
    <w:rsid w:val="00F46C9B"/>
    <w:rsid w:val="00F501DD"/>
    <w:rsid w:val="00F50F82"/>
    <w:rsid w:val="00F535FA"/>
    <w:rsid w:val="00F56FE3"/>
    <w:rsid w:val="00F61472"/>
    <w:rsid w:val="00F618F0"/>
    <w:rsid w:val="00F623BA"/>
    <w:rsid w:val="00F62AEB"/>
    <w:rsid w:val="00F637FD"/>
    <w:rsid w:val="00F63E0A"/>
    <w:rsid w:val="00F65201"/>
    <w:rsid w:val="00F66A6D"/>
    <w:rsid w:val="00F707BD"/>
    <w:rsid w:val="00F72010"/>
    <w:rsid w:val="00F722E3"/>
    <w:rsid w:val="00F73CA8"/>
    <w:rsid w:val="00F752E9"/>
    <w:rsid w:val="00F76279"/>
    <w:rsid w:val="00F76428"/>
    <w:rsid w:val="00F769C3"/>
    <w:rsid w:val="00F77798"/>
    <w:rsid w:val="00F77B4D"/>
    <w:rsid w:val="00F820F7"/>
    <w:rsid w:val="00F82F19"/>
    <w:rsid w:val="00F83A44"/>
    <w:rsid w:val="00F85C22"/>
    <w:rsid w:val="00F86B12"/>
    <w:rsid w:val="00F87AC6"/>
    <w:rsid w:val="00F9126D"/>
    <w:rsid w:val="00F91B05"/>
    <w:rsid w:val="00F94E53"/>
    <w:rsid w:val="00F95716"/>
    <w:rsid w:val="00F979AC"/>
    <w:rsid w:val="00FA0BEC"/>
    <w:rsid w:val="00FA5A8C"/>
    <w:rsid w:val="00FA6353"/>
    <w:rsid w:val="00FA7921"/>
    <w:rsid w:val="00FB06CA"/>
    <w:rsid w:val="00FB32DE"/>
    <w:rsid w:val="00FB3951"/>
    <w:rsid w:val="00FB5F00"/>
    <w:rsid w:val="00FB6A34"/>
    <w:rsid w:val="00FB7A50"/>
    <w:rsid w:val="00FC0DF5"/>
    <w:rsid w:val="00FC1051"/>
    <w:rsid w:val="00FC31C4"/>
    <w:rsid w:val="00FC44B5"/>
    <w:rsid w:val="00FC60F3"/>
    <w:rsid w:val="00FC6127"/>
    <w:rsid w:val="00FC7A4D"/>
    <w:rsid w:val="00FD08A0"/>
    <w:rsid w:val="00FD2E42"/>
    <w:rsid w:val="00FD4AA6"/>
    <w:rsid w:val="00FD66BE"/>
    <w:rsid w:val="00FE09BB"/>
    <w:rsid w:val="00FE29AF"/>
    <w:rsid w:val="00FE2B9E"/>
    <w:rsid w:val="00FE45B3"/>
    <w:rsid w:val="00FE47B9"/>
    <w:rsid w:val="00FE6123"/>
    <w:rsid w:val="00FE6555"/>
    <w:rsid w:val="00FF00C5"/>
    <w:rsid w:val="00FF111F"/>
    <w:rsid w:val="00FF188C"/>
    <w:rsid w:val="00FF2A73"/>
    <w:rsid w:val="00FF2E6F"/>
    <w:rsid w:val="00FF3A60"/>
    <w:rsid w:val="00FF4A6F"/>
    <w:rsid w:val="00FF51E1"/>
    <w:rsid w:val="00FF5702"/>
    <w:rsid w:val="01C74429"/>
    <w:rsid w:val="039667A9"/>
    <w:rsid w:val="052D4EEB"/>
    <w:rsid w:val="064E64A4"/>
    <w:rsid w:val="06C63DFD"/>
    <w:rsid w:val="084F4458"/>
    <w:rsid w:val="08931509"/>
    <w:rsid w:val="092034F8"/>
    <w:rsid w:val="0B047F5B"/>
    <w:rsid w:val="0B266665"/>
    <w:rsid w:val="0B590BB7"/>
    <w:rsid w:val="0C1578EB"/>
    <w:rsid w:val="0C695551"/>
    <w:rsid w:val="0D286C0B"/>
    <w:rsid w:val="0D39241A"/>
    <w:rsid w:val="0D3F045D"/>
    <w:rsid w:val="0DCA04A0"/>
    <w:rsid w:val="0DCC2674"/>
    <w:rsid w:val="0E054338"/>
    <w:rsid w:val="0F437CE3"/>
    <w:rsid w:val="0F4F62BD"/>
    <w:rsid w:val="0F5F52D4"/>
    <w:rsid w:val="0FB34ADD"/>
    <w:rsid w:val="0FD83CA6"/>
    <w:rsid w:val="15A861C9"/>
    <w:rsid w:val="15F12950"/>
    <w:rsid w:val="189362B8"/>
    <w:rsid w:val="18DA47DE"/>
    <w:rsid w:val="19094A44"/>
    <w:rsid w:val="19A77001"/>
    <w:rsid w:val="19BC1F42"/>
    <w:rsid w:val="1D60599D"/>
    <w:rsid w:val="1F0C367F"/>
    <w:rsid w:val="1F543A8D"/>
    <w:rsid w:val="1F7D3B06"/>
    <w:rsid w:val="1FFC3E8C"/>
    <w:rsid w:val="200367A4"/>
    <w:rsid w:val="212D7993"/>
    <w:rsid w:val="21E96BAE"/>
    <w:rsid w:val="23067739"/>
    <w:rsid w:val="235C0A1E"/>
    <w:rsid w:val="23F61D9E"/>
    <w:rsid w:val="249F6349"/>
    <w:rsid w:val="250C59F1"/>
    <w:rsid w:val="279E470A"/>
    <w:rsid w:val="28025097"/>
    <w:rsid w:val="280C22E7"/>
    <w:rsid w:val="280E4411"/>
    <w:rsid w:val="28235FAE"/>
    <w:rsid w:val="285C5E09"/>
    <w:rsid w:val="289245C0"/>
    <w:rsid w:val="28A83AC1"/>
    <w:rsid w:val="296B6C79"/>
    <w:rsid w:val="2ACD0AF9"/>
    <w:rsid w:val="2B05617A"/>
    <w:rsid w:val="2B9E6DA6"/>
    <w:rsid w:val="2BBA0E1B"/>
    <w:rsid w:val="2BD2389D"/>
    <w:rsid w:val="2C1B7487"/>
    <w:rsid w:val="2C3D4460"/>
    <w:rsid w:val="2CC807E2"/>
    <w:rsid w:val="2D413A1A"/>
    <w:rsid w:val="2E792D76"/>
    <w:rsid w:val="2F22719A"/>
    <w:rsid w:val="2FD87AD3"/>
    <w:rsid w:val="30FC3374"/>
    <w:rsid w:val="31E542D4"/>
    <w:rsid w:val="32B10DC9"/>
    <w:rsid w:val="340B15B6"/>
    <w:rsid w:val="35544996"/>
    <w:rsid w:val="36281E79"/>
    <w:rsid w:val="376B6D2F"/>
    <w:rsid w:val="37AB2E7E"/>
    <w:rsid w:val="37B87B35"/>
    <w:rsid w:val="38117B16"/>
    <w:rsid w:val="38443FBE"/>
    <w:rsid w:val="38561184"/>
    <w:rsid w:val="39482510"/>
    <w:rsid w:val="3A591BA5"/>
    <w:rsid w:val="3BF577B9"/>
    <w:rsid w:val="3CC92EAE"/>
    <w:rsid w:val="3CD72683"/>
    <w:rsid w:val="3D0E1CEF"/>
    <w:rsid w:val="3D255ECD"/>
    <w:rsid w:val="3D3B0201"/>
    <w:rsid w:val="3D405419"/>
    <w:rsid w:val="3D8C1AA8"/>
    <w:rsid w:val="3EB14A89"/>
    <w:rsid w:val="3F8D0591"/>
    <w:rsid w:val="3FC33DC0"/>
    <w:rsid w:val="401B6675"/>
    <w:rsid w:val="403A6ABA"/>
    <w:rsid w:val="434F76C0"/>
    <w:rsid w:val="44704A22"/>
    <w:rsid w:val="457B2B2E"/>
    <w:rsid w:val="45927CAB"/>
    <w:rsid w:val="46776C09"/>
    <w:rsid w:val="471F3311"/>
    <w:rsid w:val="47F41D83"/>
    <w:rsid w:val="48427E66"/>
    <w:rsid w:val="48541414"/>
    <w:rsid w:val="48952158"/>
    <w:rsid w:val="48E148F4"/>
    <w:rsid w:val="490B241B"/>
    <w:rsid w:val="491443DF"/>
    <w:rsid w:val="49F73E43"/>
    <w:rsid w:val="4A6E41B7"/>
    <w:rsid w:val="4ACD0CFD"/>
    <w:rsid w:val="4B9C1AE9"/>
    <w:rsid w:val="4D0A29E9"/>
    <w:rsid w:val="4D8C33FE"/>
    <w:rsid w:val="4D9A3C98"/>
    <w:rsid w:val="4DB74DEF"/>
    <w:rsid w:val="4E676345"/>
    <w:rsid w:val="4E6F9A39"/>
    <w:rsid w:val="53135E57"/>
    <w:rsid w:val="536855E4"/>
    <w:rsid w:val="5393632D"/>
    <w:rsid w:val="53AC0356"/>
    <w:rsid w:val="54294C96"/>
    <w:rsid w:val="54671953"/>
    <w:rsid w:val="548A4B3B"/>
    <w:rsid w:val="55326F81"/>
    <w:rsid w:val="55624C12"/>
    <w:rsid w:val="56D95B89"/>
    <w:rsid w:val="57CB6F68"/>
    <w:rsid w:val="57CE764F"/>
    <w:rsid w:val="58227C50"/>
    <w:rsid w:val="586778D7"/>
    <w:rsid w:val="58B559DF"/>
    <w:rsid w:val="590E13F2"/>
    <w:rsid w:val="598C59F3"/>
    <w:rsid w:val="5A5A557D"/>
    <w:rsid w:val="5AEA6650"/>
    <w:rsid w:val="5BE508A9"/>
    <w:rsid w:val="5C0D41BB"/>
    <w:rsid w:val="5D7FD159"/>
    <w:rsid w:val="5E0E701B"/>
    <w:rsid w:val="5EB63C16"/>
    <w:rsid w:val="5F1E4ACB"/>
    <w:rsid w:val="5F3D6221"/>
    <w:rsid w:val="5F467861"/>
    <w:rsid w:val="5FCF28BE"/>
    <w:rsid w:val="603040BD"/>
    <w:rsid w:val="60420195"/>
    <w:rsid w:val="60D62EB6"/>
    <w:rsid w:val="61E34380"/>
    <w:rsid w:val="623F4DBD"/>
    <w:rsid w:val="63731D1B"/>
    <w:rsid w:val="638F6593"/>
    <w:rsid w:val="63FC0799"/>
    <w:rsid w:val="64777168"/>
    <w:rsid w:val="655B1BDC"/>
    <w:rsid w:val="65B80DDC"/>
    <w:rsid w:val="65C12D2D"/>
    <w:rsid w:val="65F4098B"/>
    <w:rsid w:val="668A072F"/>
    <w:rsid w:val="66AE3BA1"/>
    <w:rsid w:val="67C2636D"/>
    <w:rsid w:val="68B20338"/>
    <w:rsid w:val="695131BA"/>
    <w:rsid w:val="6A2D47F2"/>
    <w:rsid w:val="6AD4467F"/>
    <w:rsid w:val="6B322BE5"/>
    <w:rsid w:val="6B8F6F3F"/>
    <w:rsid w:val="6BC25F67"/>
    <w:rsid w:val="6E396125"/>
    <w:rsid w:val="6E530FAB"/>
    <w:rsid w:val="6EE67581"/>
    <w:rsid w:val="6F4422AE"/>
    <w:rsid w:val="6F5972ED"/>
    <w:rsid w:val="6F7E5D87"/>
    <w:rsid w:val="6FC0545D"/>
    <w:rsid w:val="70674864"/>
    <w:rsid w:val="724A7B9B"/>
    <w:rsid w:val="72F14D46"/>
    <w:rsid w:val="75267F7B"/>
    <w:rsid w:val="76A72ED3"/>
    <w:rsid w:val="77611E46"/>
    <w:rsid w:val="776D7A3B"/>
    <w:rsid w:val="77A94A29"/>
    <w:rsid w:val="77FD6C26"/>
    <w:rsid w:val="790B47EF"/>
    <w:rsid w:val="790D44A7"/>
    <w:rsid w:val="79797DE9"/>
    <w:rsid w:val="7A3C2BCB"/>
    <w:rsid w:val="7A434029"/>
    <w:rsid w:val="7A8710FC"/>
    <w:rsid w:val="7B7B773E"/>
    <w:rsid w:val="7C232FFC"/>
    <w:rsid w:val="7D36790A"/>
    <w:rsid w:val="7F477001"/>
    <w:rsid w:val="7FE0163D"/>
    <w:rsid w:val="7FE24D6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4"/>
    <w:qFormat/>
    <w:uiPriority w:val="0"/>
    <w:pPr>
      <w:jc w:val="left"/>
    </w:pPr>
  </w:style>
  <w:style w:type="paragraph" w:styleId="6">
    <w:name w:val="Body Text Indent"/>
    <w:basedOn w:val="1"/>
    <w:qFormat/>
    <w:uiPriority w:val="0"/>
    <w:pPr>
      <w:widowControl/>
      <w:spacing w:before="100" w:beforeAutospacing="1" w:after="100" w:afterAutospacing="1"/>
      <w:jc w:val="left"/>
    </w:pPr>
    <w:rPr>
      <w:rFonts w:ascii="宋体" w:hAnsi="宋体" w:cs="宋体"/>
      <w:kern w:val="0"/>
      <w:sz w:val="24"/>
    </w:rPr>
  </w:style>
  <w:style w:type="paragraph" w:styleId="7">
    <w:name w:val="Body Text Indent 2"/>
    <w:basedOn w:val="1"/>
    <w:qFormat/>
    <w:uiPriority w:val="0"/>
    <w:pPr>
      <w:widowControl/>
      <w:spacing w:before="100" w:beforeAutospacing="1" w:after="100" w:afterAutospacing="1"/>
      <w:jc w:val="left"/>
    </w:pPr>
    <w:rPr>
      <w:rFonts w:ascii="宋体" w:hAnsi="宋体" w:cs="宋体"/>
      <w:kern w:val="0"/>
      <w:sz w:val="24"/>
    </w:rPr>
  </w:style>
  <w:style w:type="paragraph" w:styleId="8">
    <w:name w:val="Balloon Text"/>
    <w:basedOn w:val="1"/>
    <w:semiHidden/>
    <w:qFormat/>
    <w:uiPriority w:val="0"/>
    <w:rPr>
      <w:sz w:val="18"/>
      <w:szCs w:val="18"/>
    </w:rPr>
  </w:style>
  <w:style w:type="paragraph" w:styleId="9">
    <w:name w:val="footer"/>
    <w:basedOn w:val="1"/>
    <w:link w:val="29"/>
    <w:qFormat/>
    <w:uiPriority w:val="99"/>
    <w:pPr>
      <w:tabs>
        <w:tab w:val="center" w:pos="4153"/>
        <w:tab w:val="right" w:pos="8306"/>
      </w:tabs>
      <w:snapToGrid w:val="0"/>
      <w:jc w:val="left"/>
    </w:pPr>
    <w:rPr>
      <w:sz w:val="18"/>
      <w:szCs w:val="18"/>
    </w:rPr>
  </w:style>
  <w:style w:type="paragraph" w:styleId="10">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paragraph" w:styleId="12">
    <w:name w:val="annotation subject"/>
    <w:basedOn w:val="5"/>
    <w:next w:val="5"/>
    <w:link w:val="25"/>
    <w:qFormat/>
    <w:uiPriority w:val="0"/>
    <w:rPr>
      <w:b/>
      <w:bCs/>
    </w:r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FollowedHyperlink"/>
    <w:basedOn w:val="15"/>
    <w:qFormat/>
    <w:uiPriority w:val="0"/>
    <w:rPr>
      <w:color w:val="800080" w:themeColor="followedHyperlink"/>
      <w:u w:val="single"/>
      <w14:textFill>
        <w14:solidFill>
          <w14:schemeClr w14:val="folHlink"/>
        </w14:solidFill>
      </w14:textFill>
    </w:rPr>
  </w:style>
  <w:style w:type="character" w:styleId="18">
    <w:name w:val="Hyperlink"/>
    <w:qFormat/>
    <w:uiPriority w:val="0"/>
    <w:rPr>
      <w:color w:val="0068B7"/>
      <w:u w:val="none"/>
    </w:rPr>
  </w:style>
  <w:style w:type="character" w:styleId="19">
    <w:name w:val="annotation reference"/>
    <w:basedOn w:val="15"/>
    <w:qFormat/>
    <w:uiPriority w:val="0"/>
    <w:rPr>
      <w:sz w:val="21"/>
      <w:szCs w:val="21"/>
    </w:rPr>
  </w:style>
  <w:style w:type="character" w:customStyle="1" w:styleId="20">
    <w:name w:val="141"/>
    <w:qFormat/>
    <w:uiPriority w:val="0"/>
    <w:rPr>
      <w:sz w:val="21"/>
      <w:szCs w:val="21"/>
    </w:rPr>
  </w:style>
  <w:style w:type="character" w:customStyle="1" w:styleId="21">
    <w:name w:val="ztag pre"/>
    <w:basedOn w:val="15"/>
    <w:qFormat/>
    <w:uiPriority w:val="0"/>
  </w:style>
  <w:style w:type="character" w:customStyle="1" w:styleId="22">
    <w:name w:val="已访问的超链接1"/>
    <w:qFormat/>
    <w:uiPriority w:val="0"/>
    <w:rPr>
      <w:color w:val="800080"/>
      <w:u w:val="single"/>
    </w:rPr>
  </w:style>
  <w:style w:type="paragraph" w:customStyle="1" w:styleId="23">
    <w:name w:val="列表段落1"/>
    <w:basedOn w:val="1"/>
    <w:qFormat/>
    <w:uiPriority w:val="34"/>
    <w:pPr>
      <w:ind w:firstLine="420" w:firstLineChars="200"/>
    </w:pPr>
  </w:style>
  <w:style w:type="character" w:customStyle="1" w:styleId="24">
    <w:name w:val="批注文字 字符"/>
    <w:basedOn w:val="15"/>
    <w:link w:val="5"/>
    <w:qFormat/>
    <w:uiPriority w:val="0"/>
    <w:rPr>
      <w:kern w:val="2"/>
      <w:sz w:val="21"/>
      <w:szCs w:val="24"/>
    </w:rPr>
  </w:style>
  <w:style w:type="character" w:customStyle="1" w:styleId="25">
    <w:name w:val="批注主题 字符"/>
    <w:basedOn w:val="24"/>
    <w:link w:val="12"/>
    <w:qFormat/>
    <w:uiPriority w:val="0"/>
    <w:rPr>
      <w:b/>
      <w:bCs/>
      <w:kern w:val="2"/>
      <w:sz w:val="21"/>
      <w:szCs w:val="24"/>
    </w:rPr>
  </w:style>
  <w:style w:type="paragraph" w:customStyle="1" w:styleId="26">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字符"/>
    <w:basedOn w:val="15"/>
    <w:link w:val="2"/>
    <w:qFormat/>
    <w:uiPriority w:val="0"/>
    <w:rPr>
      <w:b/>
      <w:bCs/>
      <w:kern w:val="44"/>
      <w:sz w:val="44"/>
      <w:szCs w:val="44"/>
    </w:rPr>
  </w:style>
  <w:style w:type="character" w:customStyle="1" w:styleId="29">
    <w:name w:val="页脚 字符"/>
    <w:basedOn w:val="15"/>
    <w:link w:val="9"/>
    <w:qFormat/>
    <w:uiPriority w:val="99"/>
    <w:rPr>
      <w:kern w:val="2"/>
      <w:sz w:val="18"/>
      <w:szCs w:val="18"/>
    </w:rPr>
  </w:style>
  <w:style w:type="character" w:customStyle="1" w:styleId="30">
    <w:name w:val="页眉 字符"/>
    <w:basedOn w:val="15"/>
    <w:link w:val="10"/>
    <w:qFormat/>
    <w:uiPriority w:val="99"/>
    <w:rPr>
      <w:kern w:val="2"/>
      <w:sz w:val="18"/>
      <w:szCs w:val="18"/>
    </w:rPr>
  </w:style>
  <w:style w:type="paragraph" w:customStyle="1" w:styleId="31">
    <w:name w:val="修订1"/>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19</Pages>
  <Words>1786</Words>
  <Characters>2101</Characters>
  <Lines>345</Lines>
  <Paragraphs>338</Paragraphs>
  <TotalTime>0</TotalTime>
  <ScaleCrop>false</ScaleCrop>
  <LinksUpToDate>false</LinksUpToDate>
  <CharactersWithSpaces>2190</CharactersWithSpaces>
  <Application>WPS Office WWO_dingtalk_20240221035043-c523bba0e7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2024-09-12T15:28:00Z</dcterms:created>
  <dc:creator>全美国际教育协会</dc:creator>
  <cp:lastModifiedBy>Rita Peng</cp:lastModifiedBy>
  <cp:lastPrinted>2011-12-17T16:54:00Z</cp:lastPrinted>
  <dcterms:modified xsi:type="dcterms:W3CDTF">2026-09-02T18:47:08Z</dcterms:modified>
  <dc:subject>AI驱动科学：功能能源材料计算</dc:subject>
  <dc:title>英国剑桥大学 未来菁英导培计划 AI4S专题项目：AI驱动科学：功能能源材料计算</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7EF96834BE8A45CD82F94B314CFC0439_13</vt:lpwstr>
  </property>
  <property fmtid="{D5CDD505-2E9C-101B-9397-08002B2CF9AE}" pid="4" name="KSOTemplateDocerSaveRecord">
    <vt:lpwstr>eyJoZGlkIjoiZGJiMWEzYjI1MzU1MDI5MjkxOWNhMGE2OTRiYTg3YzMiLCJ1c2VySWQiOiI1NTMwMTE5ODUifQ==</vt:lpwstr>
  </property>
</Properties>
</file>